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BE8A5" w14:textId="5B1EE2B3" w:rsidR="00081D8E" w:rsidRDefault="00A97BC9" w:rsidP="005F40F4">
      <w:pPr>
        <w:pStyle w:val="NormalWeb"/>
        <w:rPr>
          <w:b/>
          <w:bCs/>
        </w:rPr>
      </w:pPr>
      <w:r>
        <w:rPr>
          <w:b/>
          <w:bCs/>
        </w:rPr>
        <w:t xml:space="preserve"> </w:t>
      </w:r>
    </w:p>
    <w:p w14:paraId="393E3B47" w14:textId="77777777" w:rsidR="00AA208F" w:rsidRDefault="00AA208F" w:rsidP="00AA208F">
      <w:pPr>
        <w:rPr>
          <w:rFonts w:ascii="Times New Roman" w:hAnsi="Times New Roman" w:cs="Times New Roman"/>
          <w:sz w:val="24"/>
          <w:szCs w:val="24"/>
        </w:rPr>
      </w:pPr>
      <w:r w:rsidRPr="00AA208F">
        <w:rPr>
          <w:rStyle w:val="Strong"/>
          <w:rFonts w:ascii="Times New Roman" w:hAnsi="Times New Roman" w:cs="Times New Roman"/>
          <w:sz w:val="24"/>
          <w:szCs w:val="24"/>
        </w:rPr>
        <w:t>To:</w:t>
      </w:r>
      <w:r w:rsidRPr="00AA208F">
        <w:rPr>
          <w:rFonts w:ascii="Times New Roman" w:hAnsi="Times New Roman" w:cs="Times New Roman"/>
          <w:sz w:val="24"/>
          <w:szCs w:val="24"/>
        </w:rPr>
        <w:t xml:space="preserve"> </w:t>
      </w:r>
      <w:r w:rsidRPr="00AA208F">
        <w:rPr>
          <w:rStyle w:val="Strong"/>
          <w:rFonts w:ascii="Times New Roman" w:hAnsi="Times New Roman" w:cs="Times New Roman"/>
          <w:sz w:val="24"/>
          <w:szCs w:val="24"/>
        </w:rPr>
        <w:t>Mr. Theodoros Rousopoulos</w:t>
      </w:r>
      <w:r w:rsidRPr="00AA208F">
        <w:rPr>
          <w:rFonts w:ascii="Times New Roman" w:hAnsi="Times New Roman" w:cs="Times New Roman"/>
          <w:sz w:val="24"/>
          <w:szCs w:val="24"/>
        </w:rPr>
        <w:t xml:space="preserve"> </w:t>
      </w:r>
      <w:r w:rsidRPr="00AA208F">
        <w:rPr>
          <w:rFonts w:ascii="Times New Roman" w:hAnsi="Times New Roman" w:cs="Times New Roman"/>
          <w:sz w:val="24"/>
          <w:szCs w:val="24"/>
        </w:rPr>
        <w:br/>
      </w:r>
      <w:r w:rsidRPr="00AA208F">
        <w:rPr>
          <w:rStyle w:val="Strong"/>
          <w:rFonts w:ascii="Times New Roman" w:hAnsi="Times New Roman" w:cs="Times New Roman"/>
          <w:sz w:val="24"/>
          <w:szCs w:val="24"/>
        </w:rPr>
        <w:t>President of the Parliamentary Assembly of the Council of Europe</w:t>
      </w:r>
      <w:r w:rsidRPr="00AA208F">
        <w:rPr>
          <w:rStyle w:val="Strong"/>
          <w:rFonts w:ascii="Times New Roman" w:hAnsi="Times New Roman" w:cs="Times New Roman"/>
          <w:sz w:val="24"/>
          <w:szCs w:val="24"/>
        </w:rPr>
        <w:br/>
        <w:t>and</w:t>
      </w:r>
      <w:r w:rsidRPr="00AA208F">
        <w:rPr>
          <w:rFonts w:ascii="Times New Roman" w:hAnsi="Times New Roman" w:cs="Times New Roman"/>
          <w:sz w:val="24"/>
          <w:szCs w:val="24"/>
        </w:rPr>
        <w:br/>
      </w:r>
      <w:r w:rsidRPr="00AA208F">
        <w:rPr>
          <w:rStyle w:val="Strong"/>
          <w:rFonts w:ascii="Times New Roman" w:hAnsi="Times New Roman" w:cs="Times New Roman"/>
          <w:sz w:val="24"/>
          <w:szCs w:val="24"/>
        </w:rPr>
        <w:t>Chair of the Committee on Political Affairs and Democracy</w:t>
      </w:r>
      <w:r w:rsidRPr="00AA208F">
        <w:rPr>
          <w:rFonts w:ascii="Times New Roman" w:hAnsi="Times New Roman" w:cs="Times New Roman"/>
          <w:sz w:val="24"/>
          <w:szCs w:val="24"/>
        </w:rPr>
        <w:t xml:space="preserve"> </w:t>
      </w:r>
      <w:r w:rsidRPr="00AA208F">
        <w:rPr>
          <w:rFonts w:ascii="Times New Roman" w:hAnsi="Times New Roman" w:cs="Times New Roman"/>
          <w:sz w:val="24"/>
          <w:szCs w:val="24"/>
        </w:rPr>
        <w:br/>
        <w:t xml:space="preserve">Parliamentary Assembly of the Council of Europe Avenue de </w:t>
      </w:r>
      <w:proofErr w:type="spellStart"/>
      <w:r w:rsidRPr="00AA208F">
        <w:rPr>
          <w:rFonts w:ascii="Times New Roman" w:hAnsi="Times New Roman" w:cs="Times New Roman"/>
          <w:sz w:val="24"/>
          <w:szCs w:val="24"/>
        </w:rPr>
        <w:t>l’Europe</w:t>
      </w:r>
      <w:proofErr w:type="spellEnd"/>
      <w:r w:rsidRPr="00AA208F">
        <w:rPr>
          <w:rFonts w:ascii="Times New Roman" w:hAnsi="Times New Roman" w:cs="Times New Roman"/>
          <w:sz w:val="24"/>
          <w:szCs w:val="24"/>
        </w:rPr>
        <w:t xml:space="preserve"> </w:t>
      </w:r>
      <w:r w:rsidRPr="00AA208F">
        <w:rPr>
          <w:rFonts w:ascii="Times New Roman" w:hAnsi="Times New Roman" w:cs="Times New Roman"/>
          <w:sz w:val="24"/>
          <w:szCs w:val="24"/>
        </w:rPr>
        <w:br/>
        <w:t>F</w:t>
      </w:r>
      <w:r w:rsidRPr="00AA208F">
        <w:rPr>
          <w:rFonts w:ascii="Times New Roman" w:hAnsi="Times New Roman" w:cs="Times New Roman"/>
          <w:sz w:val="24"/>
          <w:szCs w:val="24"/>
        </w:rPr>
        <w:noBreakHyphen/>
        <w:t xml:space="preserve">67075 Strasbourg Cedex France </w:t>
      </w:r>
      <w:r w:rsidRPr="00AA208F">
        <w:rPr>
          <w:rFonts w:ascii="Times New Roman" w:hAnsi="Times New Roman" w:cs="Times New Roman"/>
          <w:sz w:val="24"/>
          <w:szCs w:val="24"/>
        </w:rPr>
        <w:br/>
        <w:t xml:space="preserve">Email: </w:t>
      </w:r>
      <w:hyperlink r:id="rId8" w:history="1">
        <w:r w:rsidRPr="00AA208F">
          <w:rPr>
            <w:rStyle w:val="Hyperlink"/>
            <w:rFonts w:ascii="Times New Roman" w:hAnsi="Times New Roman" w:cs="Times New Roman"/>
            <w:sz w:val="24"/>
            <w:szCs w:val="24"/>
          </w:rPr>
          <w:t>theodoros.rousopoulos@coe.int</w:t>
        </w:r>
      </w:hyperlink>
    </w:p>
    <w:p w14:paraId="5DFC0DB7" w14:textId="77777777" w:rsidR="00AA208F" w:rsidRPr="00AA208F" w:rsidRDefault="00AA208F" w:rsidP="00AA208F">
      <w:pPr>
        <w:rPr>
          <w:rStyle w:val="Strong"/>
          <w:rFonts w:ascii="Times New Roman" w:hAnsi="Times New Roman" w:cs="Times New Roman"/>
          <w:sz w:val="24"/>
          <w:szCs w:val="24"/>
        </w:rPr>
      </w:pPr>
    </w:p>
    <w:p w14:paraId="778C6632" w14:textId="3574629B" w:rsidR="00AA208F" w:rsidRDefault="00AA208F" w:rsidP="00081D8E">
      <w:pPr>
        <w:pStyle w:val="NormalWeb"/>
        <w:jc w:val="both"/>
      </w:pPr>
      <w:r w:rsidRPr="00AA208F">
        <w:t>In the context of a series of unprecedented democratic departures in Romania—including the annulment of the entire presidential electoral process of 6 December 2024 and the adoption of Law No. 241/2025 (formerly PL x 168</w:t>
      </w:r>
      <w:r w:rsidR="00F67E8D">
        <w:t xml:space="preserve"> </w:t>
      </w:r>
      <w:r w:rsidRPr="00AA208F">
        <w:t xml:space="preserve">/2023, the “Vexler Law”), which introduces restrictions on historical and cultural expression potentially incompatible with Articles 8 and 10 of the European Convention on Human Rights—I, </w:t>
      </w:r>
      <w:proofErr w:type="spellStart"/>
      <w:r w:rsidRPr="00AA208F">
        <w:rPr>
          <w:b/>
          <w:bCs/>
        </w:rPr>
        <w:t>Nume</w:t>
      </w:r>
      <w:proofErr w:type="spellEnd"/>
      <w:r w:rsidRPr="00AA208F">
        <w:rPr>
          <w:b/>
          <w:bCs/>
        </w:rPr>
        <w:t xml:space="preserve"> </w:t>
      </w:r>
      <w:proofErr w:type="spellStart"/>
      <w:r w:rsidRPr="00AA208F">
        <w:rPr>
          <w:b/>
          <w:bCs/>
        </w:rPr>
        <w:t>Prenume</w:t>
      </w:r>
      <w:proofErr w:type="spellEnd"/>
      <w:r w:rsidRPr="00AA208F">
        <w:rPr>
          <w:b/>
          <w:bCs/>
        </w:rPr>
        <w:t xml:space="preserve">, </w:t>
      </w:r>
      <w:proofErr w:type="spellStart"/>
      <w:r w:rsidRPr="00AA208F">
        <w:rPr>
          <w:b/>
          <w:bCs/>
        </w:rPr>
        <w:t>Adresă</w:t>
      </w:r>
      <w:proofErr w:type="spellEnd"/>
      <w:r w:rsidRPr="00AA208F">
        <w:rPr>
          <w:b/>
          <w:bCs/>
        </w:rPr>
        <w:t>,</w:t>
      </w:r>
      <w:r w:rsidRPr="00AA208F">
        <w:t xml:space="preserve"> respectfully submit this memorandum to you, as President of the Parliamentary Assembly of the Council of Europe, inviting you to request a new, specific opinion from the Venice Commission, particularly given your previous referral concerning the annulled Romanian elections.</w:t>
      </w:r>
    </w:p>
    <w:p w14:paraId="5A9CE0F7" w14:textId="3BD95784" w:rsidR="00B37307" w:rsidRDefault="00B37307" w:rsidP="00081D8E">
      <w:pPr>
        <w:pStyle w:val="NormalWeb"/>
        <w:jc w:val="both"/>
      </w:pPr>
      <w:r>
        <w:t xml:space="preserve">This request is submitted against the background of a </w:t>
      </w:r>
      <w:r>
        <w:rPr>
          <w:rStyle w:val="Strong"/>
          <w:rFonts w:eastAsiaTheme="majorEastAsia"/>
        </w:rPr>
        <w:t>growing democratic concern arising from several institutional departures</w:t>
      </w:r>
      <w:r>
        <w:t xml:space="preserve"> observed in Romania over the past year. Taken cumulatively, these developments have raised serious questions among legal experts, civil society and the wider public regarding the extent to which key state institutions continue to operate within the limits of European standards on democratic governance, electoral integrity and freedom of expression.</w:t>
      </w:r>
    </w:p>
    <w:p w14:paraId="778522AF" w14:textId="51F06119" w:rsidR="00B37307" w:rsidRDefault="00B37307" w:rsidP="00894768">
      <w:pPr>
        <w:pStyle w:val="NormalWeb"/>
        <w:jc w:val="both"/>
      </w:pPr>
      <w:r>
        <w:t>The Venice Commission, in its Opinion No. 1218/2024 (CDL</w:t>
      </w:r>
      <w:r>
        <w:noBreakHyphen/>
        <w:t>AD</w:t>
      </w:r>
      <w:r w:rsidR="00894768">
        <w:t xml:space="preserve"> </w:t>
      </w:r>
      <w:r>
        <w:t xml:space="preserve">(2025)003), expressly stated in paragraph 79 that it </w:t>
      </w:r>
      <w:r>
        <w:rPr>
          <w:rStyle w:val="Emphasis"/>
          <w:rFonts w:eastAsiaTheme="majorEastAsia"/>
        </w:rPr>
        <w:t>“remains at the disposal of the Parliamentary Assembly for further assistance in this matter.”</w:t>
      </w:r>
      <w:r>
        <w:t xml:space="preserve"> This indicates that the Commission is prepared to provide additional guidance should the Assembly consider it necessary. The previous request submitted by the President of PACE concerned only a general question of principle, and the Commission itself underlined in paragraph 66 that it was </w:t>
      </w:r>
      <w:r>
        <w:rPr>
          <w:rStyle w:val="Strong"/>
          <w:rFonts w:eastAsiaTheme="majorEastAsia"/>
        </w:rPr>
        <w:t>not examining the facts of the Romanian case</w:t>
      </w:r>
      <w:r>
        <w:t>, nor the reasoning of Decision No. 32/2024 of the Constitutional Court.</w:t>
      </w:r>
    </w:p>
    <w:p w14:paraId="48E27BA0" w14:textId="0C161019" w:rsidR="00464975" w:rsidRDefault="00B37307" w:rsidP="00894768">
      <w:pPr>
        <w:pStyle w:val="NormalWeb"/>
        <w:jc w:val="both"/>
      </w:pPr>
      <w:r>
        <w:t xml:space="preserve">Since then, </w:t>
      </w:r>
      <w:r>
        <w:rPr>
          <w:rStyle w:val="Strong"/>
          <w:rFonts w:eastAsiaTheme="majorEastAsia"/>
        </w:rPr>
        <w:t>several material facts have emerged</w:t>
      </w:r>
      <w:r>
        <w:t xml:space="preserve"> </w:t>
      </w:r>
      <w:r w:rsidR="00894768">
        <w:t>that</w:t>
      </w:r>
      <w:r>
        <w:t xml:space="preserve"> were not known at the time Opinion No. 1218/2024 was issued. These include video evidence from November 2024 that became publicly visible only in October 2025, public statements by constitutional judges acknowledging the absence of concrete evidence at the time of annulment, and the continued non</w:t>
      </w:r>
      <w:r>
        <w:noBreakHyphen/>
        <w:t>disclosure of the intelligence materials allegedly used to justify the annulment. These developments warrant renewed scrutiny.</w:t>
      </w:r>
    </w:p>
    <w:p w14:paraId="446DA4F3" w14:textId="65DD2045" w:rsidR="00464975" w:rsidRDefault="00464975" w:rsidP="00894768">
      <w:pPr>
        <w:pStyle w:val="NormalWeb"/>
        <w:jc w:val="both"/>
      </w:pPr>
      <w:r>
        <w:t>In addition, the OSCE/ODIHR Needs Assessment Mission and the subsequent Statement of Preliminary Findings and Conclusions for the repeated presidential elections of 4 May 2025 identified a series of systemic deficiencies that were not known at the time Opinion No. 1218/2024 was issued. ODIHR noted the lack of transparency in the administration of the electoral process, the extensive use of emergency ordinances to amend electoral legislation shortly before the vote, the non</w:t>
      </w:r>
      <w:r>
        <w:noBreakHyphen/>
        <w:t>implementation of long</w:t>
      </w:r>
      <w:r>
        <w:noBreakHyphen/>
        <w:t xml:space="preserve">standing OSCE recommendations, the exclusion of candidates on the basis of unclear or unforeseeable criteria, the fragmented </w:t>
      </w:r>
      <w:r>
        <w:lastRenderedPageBreak/>
        <w:t>and insufficient oversight of online political communication, and persistent opacity in political financing.</w:t>
      </w:r>
      <w:r w:rsidR="0039131B">
        <w:rPr>
          <w:rStyle w:val="FootnoteReference"/>
        </w:rPr>
        <w:footnoteReference w:id="1"/>
      </w:r>
      <w:r>
        <w:t>These findings reinforce the need for renewed scrutiny by the Venice Commission, as they raise structural concerns regarding the integrity, predictability and transparency of the Romanian electoral framework.</w:t>
      </w:r>
    </w:p>
    <w:p w14:paraId="695CCFC9" w14:textId="4E624656" w:rsidR="00B37307" w:rsidRDefault="00B37307" w:rsidP="00AF4812">
      <w:pPr>
        <w:pStyle w:val="NormalWeb"/>
        <w:jc w:val="both"/>
      </w:pPr>
      <w:r>
        <w:t xml:space="preserve">A relevant precedent exists in the case of the Republic of Moldova, where the Venice Commission examined the annulment of the 2018 Chișinău mayoral elections. The Commission held that annulment is an exceptional measure of </w:t>
      </w:r>
      <w:r>
        <w:rPr>
          <w:rStyle w:val="Emphasis"/>
          <w:rFonts w:eastAsiaTheme="majorEastAsia"/>
        </w:rPr>
        <w:t>ultima ratio</w:t>
      </w:r>
      <w:r>
        <w:t>; that irregularities must be clearly demonstrated to have affected the outcome; that judicial decisions must be fully reasoned, transparent and foreseeable; and that minor or vague violations cannot justify invalidation. These principles are directly relevant to the Romanian situation.</w:t>
      </w:r>
    </w:p>
    <w:p w14:paraId="39E0EE08" w14:textId="77777777" w:rsidR="00B37307" w:rsidRPr="00B37307" w:rsidRDefault="00B37307" w:rsidP="00B3730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37307">
        <w:rPr>
          <w:rFonts w:ascii="Times New Roman" w:eastAsia="Times New Roman" w:hAnsi="Times New Roman" w:cs="Times New Roman"/>
          <w:b/>
          <w:bCs/>
          <w:kern w:val="0"/>
          <w:sz w:val="24"/>
          <w:szCs w:val="24"/>
          <w:lang w:eastAsia="en-GB"/>
          <w14:ligatures w14:val="none"/>
        </w:rPr>
        <w:t>First</w:t>
      </w:r>
      <w:r w:rsidRPr="00B37307">
        <w:rPr>
          <w:rFonts w:ascii="Times New Roman" w:eastAsia="Times New Roman" w:hAnsi="Times New Roman" w:cs="Times New Roman"/>
          <w:kern w:val="0"/>
          <w:sz w:val="24"/>
          <w:szCs w:val="24"/>
          <w:lang w:eastAsia="en-GB"/>
          <w14:ligatures w14:val="none"/>
        </w:rPr>
        <w:t xml:space="preserve">, the annulment of the entire 2024 presidential electoral process — an unprecedented measure in any Council of Europe member state — was adopted </w:t>
      </w:r>
      <w:r w:rsidRPr="00B37307">
        <w:rPr>
          <w:rFonts w:ascii="Times New Roman" w:eastAsia="Times New Roman" w:hAnsi="Times New Roman" w:cs="Times New Roman"/>
          <w:b/>
          <w:bCs/>
          <w:kern w:val="0"/>
          <w:sz w:val="24"/>
          <w:szCs w:val="24"/>
          <w:lang w:eastAsia="en-GB"/>
          <w14:ligatures w14:val="none"/>
        </w:rPr>
        <w:t>ex officio</w:t>
      </w:r>
      <w:r w:rsidRPr="00B37307">
        <w:rPr>
          <w:rFonts w:ascii="Times New Roman" w:eastAsia="Times New Roman" w:hAnsi="Times New Roman" w:cs="Times New Roman"/>
          <w:kern w:val="0"/>
          <w:sz w:val="24"/>
          <w:szCs w:val="24"/>
          <w:lang w:eastAsia="en-GB"/>
          <w14:ligatures w14:val="none"/>
        </w:rPr>
        <w:t>, without a sufficiently reasoned judgment, without demonstrating any impact on the outcome, and on the basis of classified intelligence not subject to adversarial scrutiny.</w:t>
      </w:r>
    </w:p>
    <w:p w14:paraId="05187856" w14:textId="6305A3BF" w:rsidR="00B37307" w:rsidRPr="00B37307" w:rsidRDefault="00B37307" w:rsidP="00AF4812">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37307">
        <w:rPr>
          <w:rFonts w:ascii="Times New Roman" w:eastAsia="Times New Roman" w:hAnsi="Times New Roman" w:cs="Times New Roman"/>
          <w:b/>
          <w:bCs/>
          <w:kern w:val="0"/>
          <w:sz w:val="24"/>
          <w:szCs w:val="24"/>
          <w:lang w:eastAsia="en-GB"/>
          <w14:ligatures w14:val="none"/>
        </w:rPr>
        <w:t>Second</w:t>
      </w:r>
      <w:r w:rsidRPr="00B37307">
        <w:rPr>
          <w:rFonts w:ascii="Times New Roman" w:eastAsia="Times New Roman" w:hAnsi="Times New Roman" w:cs="Times New Roman"/>
          <w:kern w:val="0"/>
          <w:sz w:val="24"/>
          <w:szCs w:val="24"/>
          <w:lang w:eastAsia="en-GB"/>
          <w14:ligatures w14:val="none"/>
        </w:rPr>
        <w:t xml:space="preserve">, the adoption of </w:t>
      </w:r>
      <w:r w:rsidR="003F0142">
        <w:rPr>
          <w:rFonts w:ascii="Times New Roman" w:eastAsia="Times New Roman" w:hAnsi="Times New Roman" w:cs="Times New Roman"/>
          <w:kern w:val="0"/>
          <w:sz w:val="24"/>
          <w:szCs w:val="24"/>
          <w:lang w:eastAsia="en-GB"/>
          <w14:ligatures w14:val="none"/>
        </w:rPr>
        <w:t xml:space="preserve">Law no 241/2025 </w:t>
      </w:r>
      <w:r w:rsidR="00BC7E78">
        <w:rPr>
          <w:rFonts w:ascii="Times New Roman" w:eastAsia="Times New Roman" w:hAnsi="Times New Roman" w:cs="Times New Roman"/>
          <w:kern w:val="0"/>
          <w:sz w:val="24"/>
          <w:szCs w:val="24"/>
          <w:lang w:eastAsia="en-GB"/>
          <w14:ligatures w14:val="none"/>
        </w:rPr>
        <w:t>(</w:t>
      </w:r>
      <w:r w:rsidR="003F0142">
        <w:rPr>
          <w:rFonts w:ascii="Times New Roman" w:eastAsia="Times New Roman" w:hAnsi="Times New Roman" w:cs="Times New Roman"/>
          <w:kern w:val="0"/>
          <w:sz w:val="24"/>
          <w:szCs w:val="24"/>
          <w:lang w:eastAsia="en-GB"/>
          <w14:ligatures w14:val="none"/>
        </w:rPr>
        <w:t>formerly</w:t>
      </w:r>
      <w:r w:rsidRPr="00B37307">
        <w:rPr>
          <w:rFonts w:ascii="Times New Roman" w:eastAsia="Times New Roman" w:hAnsi="Times New Roman" w:cs="Times New Roman"/>
          <w:kern w:val="0"/>
          <w:sz w:val="24"/>
          <w:szCs w:val="24"/>
          <w:lang w:eastAsia="en-GB"/>
          <w14:ligatures w14:val="none"/>
        </w:rPr>
        <w:t xml:space="preserve"> </w:t>
      </w:r>
      <w:r w:rsidRPr="00B37307">
        <w:rPr>
          <w:rFonts w:ascii="Times New Roman" w:eastAsia="Times New Roman" w:hAnsi="Times New Roman" w:cs="Times New Roman"/>
          <w:b/>
          <w:bCs/>
          <w:kern w:val="0"/>
          <w:sz w:val="24"/>
          <w:szCs w:val="24"/>
          <w:lang w:eastAsia="en-GB"/>
          <w14:ligatures w14:val="none"/>
        </w:rPr>
        <w:t>PL</w:t>
      </w:r>
      <w:r w:rsidRPr="00B37307">
        <w:rPr>
          <w:rFonts w:ascii="Times New Roman" w:eastAsia="Times New Roman" w:hAnsi="Times New Roman" w:cs="Times New Roman"/>
          <w:b/>
          <w:bCs/>
          <w:kern w:val="0"/>
          <w:sz w:val="24"/>
          <w:szCs w:val="24"/>
          <w:lang w:eastAsia="en-GB"/>
          <w14:ligatures w14:val="none"/>
        </w:rPr>
        <w:noBreakHyphen/>
        <w:t>x 168/2023</w:t>
      </w:r>
      <w:r w:rsidR="003F0142">
        <w:rPr>
          <w:rFonts w:ascii="Times New Roman" w:eastAsia="Times New Roman" w:hAnsi="Times New Roman" w:cs="Times New Roman"/>
          <w:kern w:val="0"/>
          <w:sz w:val="24"/>
          <w:szCs w:val="24"/>
          <w:lang w:eastAsia="en-GB"/>
          <w14:ligatures w14:val="none"/>
        </w:rPr>
        <w:t xml:space="preserve">) </w:t>
      </w:r>
      <w:r w:rsidRPr="00B37307">
        <w:rPr>
          <w:rFonts w:ascii="Times New Roman" w:eastAsia="Times New Roman" w:hAnsi="Times New Roman" w:cs="Times New Roman"/>
          <w:kern w:val="0"/>
          <w:sz w:val="24"/>
          <w:szCs w:val="24"/>
          <w:lang w:eastAsia="en-GB"/>
          <w14:ligatures w14:val="none"/>
        </w:rPr>
        <w:t>introducing extensive criminal and administrative sanctions for forms of historical, cultural or political expression, has raised concerns regarding its compatibility with Article</w:t>
      </w:r>
      <w:r w:rsidR="00AF4812">
        <w:rPr>
          <w:rFonts w:ascii="Times New Roman" w:eastAsia="Times New Roman" w:hAnsi="Times New Roman" w:cs="Times New Roman"/>
          <w:kern w:val="0"/>
          <w:sz w:val="24"/>
          <w:szCs w:val="24"/>
          <w:lang w:eastAsia="en-GB"/>
          <w14:ligatures w14:val="none"/>
        </w:rPr>
        <w:t>s 8 and</w:t>
      </w:r>
      <w:r w:rsidRPr="00B37307">
        <w:rPr>
          <w:rFonts w:ascii="Times New Roman" w:eastAsia="Times New Roman" w:hAnsi="Times New Roman" w:cs="Times New Roman"/>
          <w:kern w:val="0"/>
          <w:sz w:val="24"/>
          <w:szCs w:val="24"/>
          <w:lang w:eastAsia="en-GB"/>
          <w14:ligatures w14:val="none"/>
        </w:rPr>
        <w:t xml:space="preserve"> 10 of the European Convention on Human Rights, the prohibition of imposing an official version of history, and the protection of national cultural identity. This legislative development contributes to the broader democratic concern and reinforces the need for a comprehensive assessment by the Venice Commission.</w:t>
      </w:r>
    </w:p>
    <w:p w14:paraId="29FDF8A0" w14:textId="77777777" w:rsidR="00BC7E78" w:rsidRDefault="00BC7E78" w:rsidP="00AF4812">
      <w:pPr>
        <w:pStyle w:val="NormalWeb"/>
        <w:jc w:val="both"/>
      </w:pPr>
      <w:r>
        <w:t>As a preliminary matter, it should be emphasised that the Decision adopted by the Supreme Council of National Defence (CSAT) on 28 November 2024 lacks any legal basis. Under Law No. 415/2002, the CSAT has no competence whatsoever in electoral matters, nor any authority to assess, validate, contest or influence the conduct or outcome of presidential elections. Its mandate is strictly limited to national defence and security policy coordination. Consequently, the CSAT decision falls outside the scope of the Council’s statutory powers (ultra vires) and cannot produce legal effects capable of justifying subsequent institutional actions (see Annex 1).</w:t>
      </w:r>
    </w:p>
    <w:p w14:paraId="118587D8" w14:textId="77777777" w:rsidR="00BC7E78" w:rsidRDefault="00BC7E78" w:rsidP="00AF4812">
      <w:pPr>
        <w:pStyle w:val="NormalWeb"/>
        <w:jc w:val="both"/>
      </w:pPr>
      <w:r>
        <w:t>Secondly, additional candidates were removed from the electoral race in clear contradiction with the explicit provisions of Romanian law, which allow the prohibition of candidacy only in cases of final criminal conviction. By extending its discretion beyond the statutory framework, the Constitutional Court effectively introduced a new, unwritten criterion for eligibility, thereby altering the legal architecture governing the right to stand for election (see Annex 2).</w:t>
      </w:r>
    </w:p>
    <w:p w14:paraId="73B396BD" w14:textId="7B8A945B" w:rsidR="007D1D7B" w:rsidRDefault="00B37307" w:rsidP="00AF4812">
      <w:pPr>
        <w:pStyle w:val="NormalWeb"/>
        <w:jc w:val="both"/>
      </w:pPr>
      <w:r>
        <w:t xml:space="preserve">Equally important, on 19 February 2025, the President of the Constitutional Court, Mr Marian Enache, stated in a press conference — speaking explicitly “on behalf of the full bench of nine judges” — that even in the absence of a criminal conviction, the Court may determine that a candidate fails to meet the constitutional requirements for eligibility. This assertion represents his personal interpretation, yet it was presented as the collective position </w:t>
      </w:r>
      <w:r>
        <w:lastRenderedPageBreak/>
        <w:t>of the entire Court, in breach of the principles of non</w:t>
      </w:r>
      <w:r>
        <w:noBreakHyphen/>
        <w:t>anticipation, judicial restraint and the individual independence of constitutional judges. The public understood this statement as an indication that certain candidates, including the leading contender Mr Georgescu, would be excluded from the May 2025 presidential race</w:t>
      </w:r>
      <w:r w:rsidR="00BC7E78">
        <w:t xml:space="preserve"> </w:t>
      </w:r>
      <w:r>
        <w:t>(</w:t>
      </w:r>
      <w:r w:rsidR="00A10012">
        <w:t xml:space="preserve">see </w:t>
      </w:r>
      <w:r>
        <w:t xml:space="preserve">Annex </w:t>
      </w:r>
      <w:r w:rsidR="00952FAA">
        <w:t>3</w:t>
      </w:r>
      <w:r>
        <w:t>)</w:t>
      </w:r>
      <w:r w:rsidR="00BC7E78">
        <w:t>.</w:t>
      </w:r>
    </w:p>
    <w:p w14:paraId="4C2C4779" w14:textId="70E5F5D0" w:rsidR="00BA3B36" w:rsidRPr="00BA3B36" w:rsidRDefault="00BA3B36" w:rsidP="00BA3B3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A3B36">
        <w:rPr>
          <w:rFonts w:ascii="Times New Roman" w:eastAsia="Times New Roman" w:hAnsi="Times New Roman" w:cs="Times New Roman"/>
          <w:kern w:val="0"/>
          <w:sz w:val="24"/>
          <w:szCs w:val="24"/>
          <w:lang w:eastAsia="en-GB"/>
          <w14:ligatures w14:val="none"/>
        </w:rPr>
        <w:t xml:space="preserve">Additional concerns arise from the judicial review of electoral disputes. In case file no. 301/42/2025 (Judgment no. 135 of 24 April 2025), the </w:t>
      </w:r>
      <w:proofErr w:type="spellStart"/>
      <w:r w:rsidRPr="00BA3B36">
        <w:rPr>
          <w:rFonts w:ascii="Times New Roman" w:eastAsia="Times New Roman" w:hAnsi="Times New Roman" w:cs="Times New Roman"/>
          <w:kern w:val="0"/>
          <w:sz w:val="24"/>
          <w:szCs w:val="24"/>
          <w:lang w:eastAsia="en-GB"/>
          <w14:ligatures w14:val="none"/>
        </w:rPr>
        <w:t>Ploiești</w:t>
      </w:r>
      <w:proofErr w:type="spellEnd"/>
      <w:r w:rsidRPr="00BA3B36">
        <w:rPr>
          <w:rFonts w:ascii="Times New Roman" w:eastAsia="Times New Roman" w:hAnsi="Times New Roman" w:cs="Times New Roman"/>
          <w:kern w:val="0"/>
          <w:sz w:val="24"/>
          <w:szCs w:val="24"/>
          <w:lang w:eastAsia="en-GB"/>
          <w14:ligatures w14:val="none"/>
        </w:rPr>
        <w:t xml:space="preserve"> Court of Appeal—acting as the first</w:t>
      </w:r>
      <w:r w:rsidRPr="00BA3B36">
        <w:rPr>
          <w:rFonts w:ascii="Times New Roman" w:eastAsia="Times New Roman" w:hAnsi="Times New Roman" w:cs="Times New Roman"/>
          <w:kern w:val="0"/>
          <w:sz w:val="24"/>
          <w:szCs w:val="24"/>
          <w:lang w:eastAsia="en-GB"/>
          <w14:ligatures w14:val="none"/>
        </w:rPr>
        <w:noBreakHyphen/>
        <w:t>instance court—issued a ruling suspending Constitutional Court Decision no. 32/2025, which had annulled the presidential elections. The Court of Appeal’s approach appeared to be consistent with the principles set out in the Venice Commission’s Code of Good Practice in Electoral Matters, particularly the requirement that judicial remedies be effective, timely, and capable of safeguarding electoral integrity. By contrast, the intervention of the High Court of Cassation and Justice—delivered within approximately 24 hours, before the expiry of the mandatory and non</w:t>
      </w:r>
      <w:r w:rsidRPr="00BA3B36">
        <w:rPr>
          <w:rFonts w:ascii="Times New Roman" w:eastAsia="Times New Roman" w:hAnsi="Times New Roman" w:cs="Times New Roman"/>
          <w:kern w:val="0"/>
          <w:sz w:val="24"/>
          <w:szCs w:val="24"/>
          <w:lang w:eastAsia="en-GB"/>
          <w14:ligatures w14:val="none"/>
        </w:rPr>
        <w:noBreakHyphen/>
        <w:t>extendable five</w:t>
      </w:r>
      <w:r w:rsidRPr="00BA3B36">
        <w:rPr>
          <w:rFonts w:ascii="Times New Roman" w:eastAsia="Times New Roman" w:hAnsi="Times New Roman" w:cs="Times New Roman"/>
          <w:kern w:val="0"/>
          <w:sz w:val="24"/>
          <w:szCs w:val="24"/>
          <w:lang w:eastAsia="en-GB"/>
          <w14:ligatures w14:val="none"/>
        </w:rPr>
        <w:noBreakHyphen/>
        <w:t>day statutory term for appeals—seems difficult to reconcile with both the domestic procedural framework and the standards articulated by the Venice Commission concerning stability, predictability, and respect for procedural deadlines in electoral disputes. The accelerated timetable, including an atypical late</w:t>
      </w:r>
      <w:r w:rsidRPr="00BA3B36">
        <w:rPr>
          <w:rFonts w:ascii="Times New Roman" w:eastAsia="Times New Roman" w:hAnsi="Times New Roman" w:cs="Times New Roman"/>
          <w:kern w:val="0"/>
          <w:sz w:val="24"/>
          <w:szCs w:val="24"/>
          <w:lang w:eastAsia="en-GB"/>
          <w14:ligatures w14:val="none"/>
        </w:rPr>
        <w:noBreakHyphen/>
        <w:t>afternoon hearing on 25 April 2025, raises further concerns regarding the independence and effectiveness of judicial oversight in matters of such constitutional significance.</w:t>
      </w:r>
    </w:p>
    <w:p w14:paraId="0E9B508C" w14:textId="77777777" w:rsidR="007D1D7B" w:rsidRDefault="007D1D7B" w:rsidP="00CD2848">
      <w:pPr>
        <w:pStyle w:val="NormalWeb"/>
        <w:jc w:val="both"/>
      </w:pPr>
      <w:r>
        <w:t xml:space="preserve">New information has also emerged regarding the administration of the repeat presidential elections of 18 May 2025, particularly concerning the unprecedented number of voters registered on supplementary lists. According to official data, </w:t>
      </w:r>
      <w:r>
        <w:rPr>
          <w:rStyle w:val="Strong"/>
          <w:rFonts w:eastAsiaTheme="majorEastAsia"/>
        </w:rPr>
        <w:t>3,126,898 voters</w:t>
      </w:r>
      <w:r>
        <w:t xml:space="preserve"> were recorded on supplementary lists, of whom </w:t>
      </w:r>
      <w:r>
        <w:rPr>
          <w:rStyle w:val="Strong"/>
          <w:rFonts w:eastAsiaTheme="majorEastAsia"/>
        </w:rPr>
        <w:t>1,484,806</w:t>
      </w:r>
      <w:r>
        <w:t xml:space="preserve"> inside the country.</w:t>
      </w:r>
      <w:r>
        <w:rPr>
          <w:rStyle w:val="FootnoteReference"/>
        </w:rPr>
        <w:footnoteReference w:id="2"/>
      </w:r>
      <w:r w:rsidRPr="00094334">
        <w:t xml:space="preserve"> </w:t>
      </w:r>
      <w:r>
        <w:t xml:space="preserve">This represents </w:t>
      </w:r>
      <w:r>
        <w:rPr>
          <w:rStyle w:val="Strong"/>
          <w:rFonts w:eastAsiaTheme="majorEastAsia"/>
        </w:rPr>
        <w:t>a statistically abnormal and historically unmatched increase</w:t>
      </w:r>
      <w:r>
        <w:t xml:space="preserve"> compared to previous electoral cycles. By contrast, during the second round of the 2019 presidential elections, the total number of voters on supplementary lists was </w:t>
      </w:r>
      <w:r>
        <w:rPr>
          <w:rStyle w:val="Strong"/>
          <w:rFonts w:eastAsiaTheme="majorEastAsia"/>
        </w:rPr>
        <w:t>1,167,827</w:t>
      </w:r>
      <w:r>
        <w:t xml:space="preserve">, of which approximately </w:t>
      </w:r>
      <w:r>
        <w:rPr>
          <w:rStyle w:val="Strong"/>
          <w:rFonts w:eastAsiaTheme="majorEastAsia"/>
        </w:rPr>
        <w:t>920,000</w:t>
      </w:r>
      <w:r>
        <w:t xml:space="preserve"> were abroad—meaning that only around </w:t>
      </w:r>
      <w:r>
        <w:rPr>
          <w:rStyle w:val="Strong"/>
          <w:rFonts w:eastAsiaTheme="majorEastAsia"/>
        </w:rPr>
        <w:t>247,000</w:t>
      </w:r>
      <w:r>
        <w:t xml:space="preserve"> supplementary voters were registered inside the country.</w:t>
      </w:r>
      <w:r>
        <w:rPr>
          <w:rStyle w:val="FootnoteReference"/>
        </w:rPr>
        <w:footnoteReference w:id="3"/>
      </w:r>
    </w:p>
    <w:p w14:paraId="776DB378" w14:textId="77777777" w:rsidR="007D1D7B" w:rsidRDefault="007D1D7B" w:rsidP="007D1D7B">
      <w:pPr>
        <w:pStyle w:val="NormalWeb"/>
      </w:pPr>
      <w:r>
        <w:t>The contrast is stark and raises structural concerns: from roughly 1.6 million supplementary voters in 2019 (domestic and abroad combined) to more than 3.1 million in 2025. Such a doubling within a single electoral cycle is not consistent with normal electoral dynamics and cannot be considered routine.</w:t>
      </w:r>
    </w:p>
    <w:p w14:paraId="468AEDAB" w14:textId="77777777" w:rsidR="007D1D7B" w:rsidRPr="00DD055B" w:rsidRDefault="007D1D7B" w:rsidP="007D1D7B">
      <w:pPr>
        <w:spacing w:before="100" w:beforeAutospacing="1" w:after="100" w:afterAutospacing="1" w:line="240" w:lineRule="auto"/>
        <w:jc w:val="both"/>
        <w:rPr>
          <w:rFonts w:ascii="Times New Roman" w:hAnsi="Times New Roman" w:cs="Times New Roman"/>
          <w:b/>
          <w:bCs/>
          <w:sz w:val="24"/>
          <w:szCs w:val="24"/>
        </w:rPr>
      </w:pPr>
      <w:r w:rsidRPr="007D1D7B">
        <w:rPr>
          <w:rFonts w:ascii="Times New Roman" w:hAnsi="Times New Roman" w:cs="Times New Roman"/>
          <w:sz w:val="24"/>
          <w:szCs w:val="24"/>
        </w:rPr>
        <w:t xml:space="preserve">This anomaly must be assessed in light of international standards. OSCE/ODIHR guidelines emphasise that </w:t>
      </w:r>
      <w:r w:rsidRPr="00DD055B">
        <w:rPr>
          <w:rStyle w:val="Strong"/>
          <w:rFonts w:ascii="Times New Roman" w:hAnsi="Times New Roman" w:cs="Times New Roman"/>
          <w:b w:val="0"/>
          <w:bCs w:val="0"/>
          <w:sz w:val="24"/>
          <w:szCs w:val="24"/>
        </w:rPr>
        <w:t>voter lists must be accurate, transparent, and subject to independent verification</w:t>
      </w:r>
      <w:r w:rsidRPr="00DD055B">
        <w:rPr>
          <w:rFonts w:ascii="Times New Roman" w:hAnsi="Times New Roman" w:cs="Times New Roman"/>
          <w:b/>
          <w:bCs/>
          <w:sz w:val="24"/>
          <w:szCs w:val="24"/>
        </w:rPr>
        <w:t>,</w:t>
      </w:r>
      <w:r w:rsidRPr="007D1D7B">
        <w:rPr>
          <w:rFonts w:ascii="Times New Roman" w:hAnsi="Times New Roman" w:cs="Times New Roman"/>
          <w:sz w:val="24"/>
          <w:szCs w:val="24"/>
        </w:rPr>
        <w:t xml:space="preserve"> and that any significant deviations from historical patterns require </w:t>
      </w:r>
      <w:r w:rsidRPr="00DD055B">
        <w:rPr>
          <w:rStyle w:val="Strong"/>
          <w:rFonts w:ascii="Times New Roman" w:hAnsi="Times New Roman" w:cs="Times New Roman"/>
          <w:b w:val="0"/>
          <w:bCs w:val="0"/>
          <w:sz w:val="24"/>
          <w:szCs w:val="24"/>
        </w:rPr>
        <w:t>a clear administrative explanation</w:t>
      </w:r>
      <w:r w:rsidRPr="007D1D7B">
        <w:rPr>
          <w:rFonts w:ascii="Times New Roman" w:hAnsi="Times New Roman" w:cs="Times New Roman"/>
          <w:sz w:val="24"/>
          <w:szCs w:val="24"/>
        </w:rPr>
        <w:t xml:space="preserve"> to maintain public confidence. The Venice Commission’s Code of Good Practice in Electoral Matters similarly stresses that </w:t>
      </w:r>
      <w:r w:rsidRPr="00DD055B">
        <w:rPr>
          <w:rStyle w:val="Strong"/>
          <w:rFonts w:ascii="Times New Roman" w:hAnsi="Times New Roman" w:cs="Times New Roman"/>
          <w:b w:val="0"/>
          <w:bCs w:val="0"/>
          <w:sz w:val="24"/>
          <w:szCs w:val="24"/>
        </w:rPr>
        <w:t>electoral registers must be stable, reliable, and protected against manipulation</w:t>
      </w:r>
      <w:r w:rsidRPr="007D1D7B">
        <w:rPr>
          <w:rFonts w:ascii="Times New Roman" w:hAnsi="Times New Roman" w:cs="Times New Roman"/>
          <w:sz w:val="24"/>
          <w:szCs w:val="24"/>
        </w:rPr>
        <w:t xml:space="preserve">, while the Parliamentary Assembly of the Council of Europe (PACE) has repeatedly underlined that </w:t>
      </w:r>
      <w:r w:rsidRPr="00DD055B">
        <w:rPr>
          <w:rStyle w:val="Strong"/>
          <w:rFonts w:ascii="Times New Roman" w:hAnsi="Times New Roman" w:cs="Times New Roman"/>
          <w:b w:val="0"/>
          <w:bCs w:val="0"/>
          <w:sz w:val="24"/>
          <w:szCs w:val="24"/>
        </w:rPr>
        <w:t>extraordinary increases in supplementary voters may indicate deficiencies in voter registration procedures or vulnerabilities in the safeguards against multiple or unverified voting</w:t>
      </w:r>
      <w:r w:rsidRPr="00DD055B">
        <w:rPr>
          <w:rFonts w:ascii="Times New Roman" w:hAnsi="Times New Roman" w:cs="Times New Roman"/>
          <w:b/>
          <w:bCs/>
          <w:sz w:val="24"/>
          <w:szCs w:val="24"/>
        </w:rPr>
        <w:t>.</w:t>
      </w:r>
    </w:p>
    <w:p w14:paraId="500F9251" w14:textId="3C76E5C0" w:rsidR="007D1D7B" w:rsidRPr="007D1D7B" w:rsidRDefault="007D1D7B" w:rsidP="007D1D7B">
      <w:pPr>
        <w:spacing w:before="100" w:beforeAutospacing="1" w:after="100" w:afterAutospacing="1" w:line="240" w:lineRule="auto"/>
        <w:jc w:val="both"/>
        <w:rPr>
          <w:rFonts w:ascii="Times New Roman" w:hAnsi="Times New Roman" w:cs="Times New Roman"/>
          <w:sz w:val="24"/>
          <w:szCs w:val="24"/>
        </w:rPr>
      </w:pPr>
      <w:r w:rsidRPr="007D1D7B">
        <w:rPr>
          <w:rFonts w:ascii="Times New Roman" w:hAnsi="Times New Roman" w:cs="Times New Roman"/>
          <w:sz w:val="24"/>
          <w:szCs w:val="24"/>
        </w:rPr>
        <w:lastRenderedPageBreak/>
        <w:t xml:space="preserve">In this context, the unusually high concentration of supplementary voters in 2025 raises legitimate concerns regarding the accuracy of voter lists, the transparency of voter registration procedures, and the potential for inconsistencies between polling station protocols and the electronic data transmitted by the Special Telecommunications Service (STS). Civil society organisations and electoral stakeholders have reported concerns regarding possible discrepancies between polling station protocols and the data stored and transmitted electronically by STS, in the absence of an </w:t>
      </w:r>
      <w:r w:rsidRPr="007D1D7B">
        <w:rPr>
          <w:rStyle w:val="Strong"/>
          <w:rFonts w:ascii="Times New Roman" w:hAnsi="Times New Roman" w:cs="Times New Roman"/>
          <w:sz w:val="24"/>
          <w:szCs w:val="24"/>
        </w:rPr>
        <w:t>independent audit</w:t>
      </w:r>
      <w:r w:rsidRPr="007D1D7B">
        <w:rPr>
          <w:rFonts w:ascii="Times New Roman" w:hAnsi="Times New Roman" w:cs="Times New Roman"/>
          <w:sz w:val="24"/>
          <w:szCs w:val="24"/>
        </w:rPr>
        <w:t xml:space="preserve"> of the electronic transmission system—an audit explicitly recommended by ODIHR in previous election cycles.</w:t>
      </w:r>
    </w:p>
    <w:p w14:paraId="41D9364B" w14:textId="77777777" w:rsidR="00BC7E78" w:rsidRDefault="00BC7E7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 xml:space="preserve">Moreover, in August 2025, Constitutional Court judge Iulia </w:t>
      </w:r>
      <w:proofErr w:type="spellStart"/>
      <w:r w:rsidRPr="00AF4812">
        <w:rPr>
          <w:rFonts w:ascii="Times New Roman" w:hAnsi="Times New Roman" w:cs="Times New Roman"/>
          <w:sz w:val="24"/>
          <w:szCs w:val="24"/>
        </w:rPr>
        <w:t>Scântei</w:t>
      </w:r>
      <w:proofErr w:type="spellEnd"/>
      <w:r w:rsidRPr="00AF4812">
        <w:rPr>
          <w:rFonts w:ascii="Times New Roman" w:hAnsi="Times New Roman" w:cs="Times New Roman"/>
          <w:sz w:val="24"/>
          <w:szCs w:val="24"/>
        </w:rPr>
        <w:t xml:space="preserve"> publicly acknowledged that, at the time the presidential elections were annulled, the Court did not have concrete evidence and relied exclusively on intelligence notes, without verifying their accuracy or authenticity (see Annex 4).</w:t>
      </w:r>
    </w:p>
    <w:p w14:paraId="0745A761" w14:textId="6196FAA7" w:rsidR="0077419A" w:rsidRPr="00AF4812" w:rsidRDefault="0077419A" w:rsidP="00AF4812">
      <w:pPr>
        <w:spacing w:before="100" w:beforeAutospacing="1" w:after="100" w:afterAutospacing="1" w:line="240" w:lineRule="auto"/>
        <w:jc w:val="both"/>
        <w:rPr>
          <w:rFonts w:ascii="Times New Roman" w:hAnsi="Times New Roman" w:cs="Times New Roman"/>
          <w:sz w:val="24"/>
          <w:szCs w:val="24"/>
        </w:rPr>
      </w:pPr>
      <w:r w:rsidRPr="0077419A">
        <w:rPr>
          <w:rFonts w:ascii="Times New Roman" w:hAnsi="Times New Roman" w:cs="Times New Roman"/>
          <w:sz w:val="24"/>
          <w:szCs w:val="24"/>
        </w:rPr>
        <w:t>Furthermore, President Nicușor Dan publicly presented, including during the Copenhagen meeting of European leaders, a report issued by the Prosecutor General containing materials from the ongoing criminal case concerning Mr Călin Georgescu, and referred to these materials as proof of alleged Russian interference. The issue is not the confidentiality of the criminal proceedings—since the indictment had already been submitted to the court—but the fact that evidence from an ongoing case is now being portrayed as conclusive proof of foreign interference, despite the fact that such evidence did not exist at the time the elections were annulled on 6 December 2024. This ex post facto use of criminal-case materials for political justification is incompatible with the principles of separation of powers and with the integrity of judicial proceedings (see Annex 5).</w:t>
      </w:r>
    </w:p>
    <w:p w14:paraId="48BEAD45" w14:textId="64EE4967" w:rsidR="002139D8" w:rsidRPr="00AF4812" w:rsidRDefault="002139D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In a related development, in November 2025, a video recording went viral, showing an exchange from 24 November 2024, on the night of the first</w:t>
      </w:r>
      <w:r w:rsidRPr="00AF4812">
        <w:rPr>
          <w:rFonts w:ascii="Times New Roman" w:hAnsi="Times New Roman" w:cs="Times New Roman"/>
          <w:sz w:val="24"/>
          <w:szCs w:val="24"/>
        </w:rPr>
        <w:noBreakHyphen/>
        <w:t xml:space="preserve">round results. While awaiting preliminary figures and visibly surprised by Mr Georgescu’s performance, Bucharest Municipal Councillor Ștefan </w:t>
      </w:r>
      <w:proofErr w:type="spellStart"/>
      <w:r w:rsidRPr="00AF4812">
        <w:rPr>
          <w:rFonts w:ascii="Times New Roman" w:hAnsi="Times New Roman" w:cs="Times New Roman"/>
          <w:sz w:val="24"/>
          <w:szCs w:val="24"/>
        </w:rPr>
        <w:t>Stofor</w:t>
      </w:r>
      <w:proofErr w:type="spellEnd"/>
      <w:r w:rsidRPr="00AF4812">
        <w:rPr>
          <w:rFonts w:ascii="Times New Roman" w:hAnsi="Times New Roman" w:cs="Times New Roman"/>
          <w:sz w:val="24"/>
          <w:szCs w:val="24"/>
        </w:rPr>
        <w:t xml:space="preserve"> was heard telling Mr Nicușor Dan that, if Mr Georgescu entered the second round, Mr Dan should prepare to run for the presidency. The authenticity of the exchange was subsequently confirmed publicly by the journalist Robert Turcescu (see Annex 6).</w:t>
      </w:r>
    </w:p>
    <w:p w14:paraId="6F3ECBE0" w14:textId="77777777" w:rsidR="002139D8" w:rsidRPr="00AF4812" w:rsidRDefault="002139D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In addition, the adoption of Law No. 241/2025 (formerly PL</w:t>
      </w:r>
      <w:r w:rsidRPr="00AF4812">
        <w:rPr>
          <w:rFonts w:ascii="Times New Roman" w:hAnsi="Times New Roman" w:cs="Times New Roman"/>
          <w:sz w:val="24"/>
          <w:szCs w:val="24"/>
        </w:rPr>
        <w:noBreakHyphen/>
        <w:t>x 168/2023, the so</w:t>
      </w:r>
      <w:r w:rsidRPr="00AF4812">
        <w:rPr>
          <w:rFonts w:ascii="Times New Roman" w:hAnsi="Times New Roman" w:cs="Times New Roman"/>
          <w:sz w:val="24"/>
          <w:szCs w:val="24"/>
        </w:rPr>
        <w:noBreakHyphen/>
        <w:t>called “Vexler Law”) has generated significant democratic concern due to its potential incompatibility not only with Article 10 of the European Convention on Human Rights, but also with the broader Convention framework protecting identity, private life and non</w:t>
      </w:r>
      <w:r w:rsidRPr="00AF4812">
        <w:rPr>
          <w:rFonts w:ascii="Times New Roman" w:hAnsi="Times New Roman" w:cs="Times New Roman"/>
          <w:sz w:val="24"/>
          <w:szCs w:val="24"/>
        </w:rPr>
        <w:noBreakHyphen/>
        <w:t>discrimination (Articles 8 and 14 ECHR). The law introduces criminal and administrative sanctions for a wide range of expressions relating to historical, cultural, national and political matters, without providing clear, foreseeable or proportionate criteria. Although it contains several definitions, these are vague, overly broad or incomplete, and essential terms such as “extremism”, “manifestation”, “symbol” or “promotion” remain undefined. Such legislative indeterminacy fails to meet the requirements of clarity, predictability and necessity in a democratic society established by the European Court of Human Rights, and may unduly restrict legitimate expressions of cultural, historical or national identity.</w:t>
      </w:r>
    </w:p>
    <w:p w14:paraId="613A02E5" w14:textId="77777777" w:rsidR="002139D8" w:rsidRDefault="002139D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 xml:space="preserve">By restricting certain forms of historical interpretation, critical analysis or public debate, the law risks imposing an official version of history, contrary to the Court’s consistent case law </w:t>
      </w:r>
      <w:r w:rsidRPr="00AF4812">
        <w:rPr>
          <w:rFonts w:ascii="Times New Roman" w:hAnsi="Times New Roman" w:cs="Times New Roman"/>
          <w:sz w:val="24"/>
          <w:szCs w:val="24"/>
        </w:rPr>
        <w:lastRenderedPageBreak/>
        <w:t>that the State must not prescribe a single, mandatory narrative of past events. Such restrictions may prevent historians, writers, academics and cultural figures—many of whom constitute the core of Romanian cultural identity—from engaging in legitimate scholarly debate or from examining historical evidence critically. The ability of a society to understand its past, to learn from historical errors and to prevent their repetition depends on the free exchange of ideas, including controversial or dissenting views.</w:t>
      </w:r>
    </w:p>
    <w:p w14:paraId="5335B727" w14:textId="5B52E337" w:rsidR="00E82D0B" w:rsidRDefault="00E82D0B" w:rsidP="00AF4812">
      <w:pPr>
        <w:spacing w:before="100" w:beforeAutospacing="1" w:after="100" w:afterAutospacing="1" w:line="240" w:lineRule="auto"/>
        <w:jc w:val="both"/>
        <w:rPr>
          <w:rFonts w:ascii="Times New Roman" w:hAnsi="Times New Roman" w:cs="Times New Roman"/>
          <w:sz w:val="24"/>
          <w:szCs w:val="24"/>
        </w:rPr>
      </w:pPr>
      <w:r w:rsidRPr="00E82D0B">
        <w:rPr>
          <w:rFonts w:ascii="Times New Roman" w:hAnsi="Times New Roman" w:cs="Times New Roman"/>
          <w:sz w:val="24"/>
          <w:szCs w:val="24"/>
        </w:rPr>
        <w:t xml:space="preserve">Moreover, the scope of Law no. 241/2025 is so broad that it may place under legal risk the works of some of the most emblematic figures of Romanian culture—such as Mihai Eminescu, Mircea Eliade, Ioan </w:t>
      </w:r>
      <w:proofErr w:type="spellStart"/>
      <w:r w:rsidRPr="00E82D0B">
        <w:rPr>
          <w:rFonts w:ascii="Times New Roman" w:hAnsi="Times New Roman" w:cs="Times New Roman"/>
          <w:sz w:val="24"/>
          <w:szCs w:val="24"/>
        </w:rPr>
        <w:t>Slavici</w:t>
      </w:r>
      <w:proofErr w:type="spellEnd"/>
      <w:r w:rsidRPr="00E82D0B">
        <w:rPr>
          <w:rFonts w:ascii="Times New Roman" w:hAnsi="Times New Roman" w:cs="Times New Roman"/>
          <w:sz w:val="24"/>
          <w:szCs w:val="24"/>
        </w:rPr>
        <w:t xml:space="preserve"> and many others—whose writings are inseparable from Romania’s cultural and national identity. By criminalising certain forms of historical interpretation or cultural expression, the law effectively exposes these foundational authors to potential sanction, not because their works are unlawful, but because, at certain points in their lives, they expressed political views or historical interpretations that do not align with a single, state‑mandated narrative. In practice, these risks excluding essential components of Romania’s cultural heritage from public discourse and undermines the ability of society to engage freely with its own history.</w:t>
      </w:r>
    </w:p>
    <w:p w14:paraId="0591074A" w14:textId="12291EB4" w:rsidR="008575ED" w:rsidRDefault="008575ED" w:rsidP="00AF4812">
      <w:pPr>
        <w:spacing w:before="100" w:beforeAutospacing="1" w:after="100" w:afterAutospacing="1" w:line="240" w:lineRule="auto"/>
        <w:jc w:val="both"/>
        <w:rPr>
          <w:rFonts w:ascii="Times New Roman" w:hAnsi="Times New Roman" w:cs="Times New Roman"/>
          <w:sz w:val="24"/>
          <w:szCs w:val="24"/>
        </w:rPr>
      </w:pPr>
      <w:r w:rsidRPr="008575ED">
        <w:rPr>
          <w:rFonts w:ascii="Times New Roman" w:hAnsi="Times New Roman" w:cs="Times New Roman"/>
          <w:sz w:val="24"/>
          <w:szCs w:val="24"/>
        </w:rPr>
        <w:t>The law further raises concerns of discriminatory protection. While racism and hate speech are already prohibited under existing legislation and protect all minorities equally—including antisemitism, which is fully covered under the existing legal framework—Law No. 241/2025 introduces a distinct and privileged category of protection without demonstrating the necessity of such differentiation. The absence of equivalent safeguards for expressions targeting the Romanian majority creates an imbalance that may be perceived as unequal treatment before the law</w:t>
      </w:r>
      <w:r>
        <w:rPr>
          <w:rFonts w:ascii="Times New Roman" w:hAnsi="Times New Roman" w:cs="Times New Roman"/>
          <w:sz w:val="24"/>
          <w:szCs w:val="24"/>
        </w:rPr>
        <w:t>.</w:t>
      </w:r>
    </w:p>
    <w:p w14:paraId="4CCBC54F" w14:textId="77777777" w:rsidR="002139D8" w:rsidRPr="00AF4812" w:rsidRDefault="002139D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Moreover, the law appears to extend criminal liability to expressions that are merely patriotic, symbolic or cultural in nature, even where they do not incite hatred, violence or discrimination. The prohibition of certain greetings, symbols or cultural references—without distinguishing between hostile manifestations and benign expressions of national or cultural identity—risks criminalising conduct that falls within the scope of protected expression under Article 10 ECHR, as well as the broader Convention protection of identity and private life under Article 8.</w:t>
      </w:r>
    </w:p>
    <w:p w14:paraId="23CA8915" w14:textId="77777777" w:rsidR="002139D8" w:rsidRPr="00AF4812" w:rsidRDefault="002139D8" w:rsidP="00AF4812">
      <w:pPr>
        <w:spacing w:before="100" w:beforeAutospacing="1" w:after="100" w:afterAutospacing="1" w:line="240" w:lineRule="auto"/>
        <w:jc w:val="both"/>
        <w:rPr>
          <w:rFonts w:ascii="Times New Roman" w:hAnsi="Times New Roman" w:cs="Times New Roman"/>
          <w:sz w:val="24"/>
          <w:szCs w:val="24"/>
        </w:rPr>
      </w:pPr>
      <w:r w:rsidRPr="00AF4812">
        <w:rPr>
          <w:rFonts w:ascii="Times New Roman" w:hAnsi="Times New Roman" w:cs="Times New Roman"/>
          <w:sz w:val="24"/>
          <w:szCs w:val="24"/>
        </w:rPr>
        <w:t>Under the Court’s established case law, only expressions that genuinely incite hatred or violence may be legitimately restricted in a democratic society. Patriotic, cultural or identity</w:t>
      </w:r>
      <w:r w:rsidRPr="00AF4812">
        <w:rPr>
          <w:rFonts w:ascii="Times New Roman" w:hAnsi="Times New Roman" w:cs="Times New Roman"/>
          <w:sz w:val="24"/>
          <w:szCs w:val="24"/>
        </w:rPr>
        <w:noBreakHyphen/>
        <w:t>based messages that do not target any group, do not advocate hostility and do not create a clear and imminent risk of harm cannot justify the imposition of criminal sanctions.</w:t>
      </w:r>
    </w:p>
    <w:p w14:paraId="6CBC4DC4" w14:textId="77777777" w:rsidR="000914B3" w:rsidRPr="00AF4812" w:rsidRDefault="000914B3" w:rsidP="00962EEC">
      <w:pPr>
        <w:spacing w:before="100" w:beforeAutospacing="1" w:after="100" w:afterAutospacing="1" w:line="240" w:lineRule="auto"/>
        <w:rPr>
          <w:rFonts w:ascii="Times New Roman" w:hAnsi="Times New Roman" w:cs="Times New Roman"/>
          <w:sz w:val="24"/>
          <w:szCs w:val="24"/>
        </w:rPr>
      </w:pPr>
      <w:r w:rsidRPr="00AF4812">
        <w:rPr>
          <w:rFonts w:ascii="Times New Roman" w:hAnsi="Times New Roman" w:cs="Times New Roman"/>
          <w:sz w:val="24"/>
          <w:szCs w:val="24"/>
        </w:rPr>
        <w:t>Taken together, these elements suggest that Law No. 241/2025 may amount to an unjustified form of censorship, lacking the clarity, foreseeability and proportionality required by the Convention, and raising broader concerns regarding the protection of cultural identity, academic freedom and equality before the law (see Annex 7).</w:t>
      </w:r>
    </w:p>
    <w:p w14:paraId="338DA151" w14:textId="77777777" w:rsidR="001F0C10" w:rsidRPr="001F0C10" w:rsidRDefault="001F0C10" w:rsidP="001F0C10">
      <w:pPr>
        <w:spacing w:before="100" w:beforeAutospacing="1" w:after="100" w:afterAutospacing="1" w:line="240" w:lineRule="auto"/>
        <w:jc w:val="both"/>
        <w:outlineLvl w:val="0"/>
        <w:rPr>
          <w:rFonts w:ascii="Times New Roman" w:hAnsi="Times New Roman" w:cs="Times New Roman"/>
          <w:sz w:val="24"/>
          <w:szCs w:val="24"/>
        </w:rPr>
      </w:pPr>
      <w:r w:rsidRPr="001F0C10">
        <w:rPr>
          <w:rFonts w:ascii="Times New Roman" w:hAnsi="Times New Roman" w:cs="Times New Roman"/>
          <w:sz w:val="24"/>
          <w:szCs w:val="24"/>
        </w:rPr>
        <w:t>In light of the above, and in view of the broader democratic concerns arising from these institutional developments, I respectfully request that PACE seek clarification from the Venice Commission on several principled questions that arise naturally from the Commission’s own standards, the Code of Good Practice in Electoral Matters, and the case law of the European Court of Human Rights. These questions concern:</w:t>
      </w:r>
    </w:p>
    <w:p w14:paraId="0BE9046D" w14:textId="41C166B2" w:rsidR="00496EE5" w:rsidRPr="00496EE5" w:rsidRDefault="00496EE5" w:rsidP="00496EE5">
      <w:pPr>
        <w:spacing w:before="100" w:beforeAutospacing="1" w:after="100" w:afterAutospacing="1" w:line="240" w:lineRule="auto"/>
        <w:outlineLvl w:val="0"/>
        <w:rPr>
          <w:sz w:val="28"/>
          <w:szCs w:val="28"/>
        </w:rPr>
      </w:pPr>
      <w:r w:rsidRPr="00496EE5">
        <w:rPr>
          <w:rFonts w:ascii="Times New Roman" w:eastAsia="Times New Roman" w:hAnsi="Times New Roman" w:cs="Times New Roman"/>
          <w:b/>
          <w:bCs/>
          <w:kern w:val="36"/>
          <w:sz w:val="28"/>
          <w:szCs w:val="28"/>
          <w:lang w:eastAsia="en-GB"/>
          <w14:ligatures w14:val="none"/>
        </w:rPr>
        <w:lastRenderedPageBreak/>
        <w:t>I. Legality and standards of annulment</w:t>
      </w:r>
    </w:p>
    <w:p w14:paraId="055B81DF"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 (Standards for annulment)</w:t>
      </w:r>
    </w:p>
    <w:p w14:paraId="22920B4D" w14:textId="77777777" w:rsidR="00496EE5" w:rsidRPr="00496EE5" w:rsidRDefault="00496EE5" w:rsidP="001F0C10">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annulment of the entire electoral process complied with the standards of necessity, proportionality and demonstrated impact on the outcome required by the Code of Good Practice in Electoral Matters and by Article 3 of Protocol No. 1 to the ECHR, given that the Constitutional Court did not show that the alleged irregularities could have affected the result of the vote.</w:t>
      </w:r>
    </w:p>
    <w:p w14:paraId="57C840CB"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2. (Ultra vires intervention by CSAT)</w:t>
      </w:r>
    </w:p>
    <w:p w14:paraId="386A91F3" w14:textId="77777777" w:rsid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a decision of the Supreme Council of National Defence (CSAT) — an institution with no electoral competence under Law No. 415/2002 — can lawfully serve as a basis for triggering or justifying the annulment of presidential elections.</w:t>
      </w:r>
    </w:p>
    <w:p w14:paraId="3F60E73E" w14:textId="77777777" w:rsidR="00496EE5" w:rsidRPr="00496EE5" w:rsidRDefault="00496EE5" w:rsidP="00496EE5">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96EE5">
        <w:rPr>
          <w:rFonts w:ascii="Times New Roman" w:eastAsia="Times New Roman" w:hAnsi="Times New Roman" w:cs="Times New Roman"/>
          <w:b/>
          <w:bCs/>
          <w:kern w:val="36"/>
          <w:sz w:val="28"/>
          <w:szCs w:val="28"/>
          <w:lang w:eastAsia="en-GB"/>
          <w14:ligatures w14:val="none"/>
        </w:rPr>
        <w:t>II. Procedural fairness, reasoning and evidence</w:t>
      </w:r>
    </w:p>
    <w:p w14:paraId="03940134"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3. (Reasoning of the Constitutional Court)</w:t>
      </w:r>
    </w:p>
    <w:p w14:paraId="5FFEECE6" w14:textId="77777777" w:rsidR="00496EE5" w:rsidRP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a constitutional court decision annulling elections without a sufficiently reasoned judgment satisfies the requirements of transparency, foreseeability and procedural fairness established in the case law of the European Court of Human Rights.</w:t>
      </w:r>
    </w:p>
    <w:p w14:paraId="51D3188F"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4. (Use of classified intelligence)</w:t>
      </w:r>
    </w:p>
    <w:p w14:paraId="2A61FA18" w14:textId="77777777" w:rsidR="00496EE5" w:rsidRPr="00496EE5" w:rsidRDefault="00496EE5" w:rsidP="001F0C10">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annulling elections on the basis of classified intelligence notes, without verifying their accuracy or authenticity and without disclosing them to the public or to the parties concerned, is compatible with the principles of adversarial proceedings, equality of arms and effective judicial scrutiny.</w:t>
      </w:r>
    </w:p>
    <w:p w14:paraId="0BC443E3"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5. (Demonstration of impact)</w:t>
      </w:r>
    </w:p>
    <w:p w14:paraId="6E5B052E" w14:textId="4E8B88FA" w:rsidR="001F0C10" w:rsidRPr="008575ED" w:rsidRDefault="00496EE5" w:rsidP="008575E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a constitutional court must demonstrate, before annulling elections, that the alleged irregularities had a concrete and measurable impact on the electoral outcome.</w:t>
      </w:r>
    </w:p>
    <w:p w14:paraId="19DDDE25" w14:textId="398CEC89" w:rsidR="00496EE5" w:rsidRPr="00496EE5" w:rsidRDefault="00496EE5" w:rsidP="00496EE5">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96EE5">
        <w:rPr>
          <w:rFonts w:ascii="Times New Roman" w:eastAsia="Times New Roman" w:hAnsi="Times New Roman" w:cs="Times New Roman"/>
          <w:b/>
          <w:bCs/>
          <w:kern w:val="36"/>
          <w:sz w:val="28"/>
          <w:szCs w:val="28"/>
          <w:lang w:eastAsia="en-GB"/>
          <w14:ligatures w14:val="none"/>
        </w:rPr>
        <w:t>III. Candidate rights and eligibility</w:t>
      </w:r>
    </w:p>
    <w:p w14:paraId="6F9FF5D9"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6. (Removal of candidates without conviction)</w:t>
      </w:r>
    </w:p>
    <w:p w14:paraId="66A77FD0" w14:textId="77777777" w:rsidR="00496EE5" w:rsidRPr="00496EE5" w:rsidRDefault="00496EE5" w:rsidP="001F0C10">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removing opposition candidates from the electoral race in the absence of a final criminal conviction is compatible with the principles of free suffrage, legality and proportionality.</w:t>
      </w:r>
    </w:p>
    <w:p w14:paraId="42DF43AD"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7. (Public statements by the President of the Constitutional Court)</w:t>
      </w:r>
    </w:p>
    <w:p w14:paraId="6AB9ACA0" w14:textId="341BFB99" w:rsidR="00B64CAE" w:rsidRPr="00496EE5" w:rsidRDefault="00496EE5" w:rsidP="001043C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 xml:space="preserve">Whether public statements by the President of the Constitutional Court, suggesting in advance that certain candidates may be deemed ineligible despite the absence of criminal </w:t>
      </w:r>
      <w:r w:rsidRPr="00496EE5">
        <w:rPr>
          <w:rFonts w:ascii="Times New Roman" w:eastAsia="Times New Roman" w:hAnsi="Times New Roman" w:cs="Times New Roman"/>
          <w:kern w:val="0"/>
          <w:sz w:val="24"/>
          <w:szCs w:val="24"/>
          <w:lang w:eastAsia="en-GB"/>
          <w14:ligatures w14:val="none"/>
        </w:rPr>
        <w:lastRenderedPageBreak/>
        <w:t>convictions, are compatible with the principles of judicial restraint, non</w:t>
      </w:r>
      <w:r w:rsidRPr="00496EE5">
        <w:rPr>
          <w:rFonts w:ascii="Times New Roman" w:eastAsia="Times New Roman" w:hAnsi="Times New Roman" w:cs="Times New Roman"/>
          <w:kern w:val="0"/>
          <w:sz w:val="24"/>
          <w:szCs w:val="24"/>
          <w:lang w:eastAsia="en-GB"/>
          <w14:ligatures w14:val="none"/>
        </w:rPr>
        <w:noBreakHyphen/>
        <w:t xml:space="preserve">anticipation and the individual independence of </w:t>
      </w:r>
      <w:r w:rsidR="00B64CAE">
        <w:rPr>
          <w:rFonts w:ascii="Times New Roman" w:eastAsia="Times New Roman" w:hAnsi="Times New Roman" w:cs="Times New Roman"/>
          <w:kern w:val="0"/>
          <w:sz w:val="24"/>
          <w:szCs w:val="24"/>
          <w:lang w:eastAsia="en-GB"/>
          <w14:ligatures w14:val="none"/>
        </w:rPr>
        <w:t xml:space="preserve">each </w:t>
      </w:r>
      <w:r w:rsidRPr="00496EE5">
        <w:rPr>
          <w:rFonts w:ascii="Times New Roman" w:eastAsia="Times New Roman" w:hAnsi="Times New Roman" w:cs="Times New Roman"/>
          <w:kern w:val="0"/>
          <w:sz w:val="24"/>
          <w:szCs w:val="24"/>
          <w:lang w:eastAsia="en-GB"/>
          <w14:ligatures w14:val="none"/>
        </w:rPr>
        <w:t>constitutional judge</w:t>
      </w:r>
      <w:r w:rsidR="00B64CAE">
        <w:rPr>
          <w:rFonts w:ascii="Times New Roman" w:eastAsia="Times New Roman" w:hAnsi="Times New Roman" w:cs="Times New Roman"/>
          <w:kern w:val="0"/>
          <w:sz w:val="24"/>
          <w:szCs w:val="24"/>
          <w:lang w:eastAsia="en-GB"/>
          <w14:ligatures w14:val="none"/>
        </w:rPr>
        <w:t xml:space="preserve"> on the bench.</w:t>
      </w:r>
    </w:p>
    <w:p w14:paraId="6287BBDE" w14:textId="77777777" w:rsidR="00496EE5" w:rsidRPr="00496EE5" w:rsidRDefault="00496EE5" w:rsidP="00496EE5">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96EE5">
        <w:rPr>
          <w:rFonts w:ascii="Times New Roman" w:eastAsia="Times New Roman" w:hAnsi="Times New Roman" w:cs="Times New Roman"/>
          <w:b/>
          <w:bCs/>
          <w:kern w:val="36"/>
          <w:sz w:val="28"/>
          <w:szCs w:val="28"/>
          <w:lang w:eastAsia="en-GB"/>
          <w14:ligatures w14:val="none"/>
        </w:rPr>
        <w:t>IV. Political interference and misuse of authority</w:t>
      </w:r>
    </w:p>
    <w:p w14:paraId="0C3F1A27"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8. (Use of criminal file materials by the President)</w:t>
      </w:r>
    </w:p>
    <w:p w14:paraId="6BDB1039" w14:textId="77777777" w:rsidR="00496EE5" w:rsidRPr="00496EE5" w:rsidRDefault="00496EE5" w:rsidP="001043C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granting the incumbent President access to evidentiary materials from a pending criminal file concerning a former candidate, and using such materials publicly as alleged proof of foreign interference, is compatible with the principles of neutrality of state authorities, equality of arms and the prohibition of misuse of administrative resources.</w:t>
      </w:r>
    </w:p>
    <w:p w14:paraId="4E0A548A"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9. (Political pressure on the judiciary)</w:t>
      </w:r>
    </w:p>
    <w:p w14:paraId="7D5A1975" w14:textId="77777777" w:rsidR="00496EE5" w:rsidRP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public presentation of such materials to foreign leaders, outside any judicial framework, constitutes undue pressure on the judiciary and undermines the separation of powers.</w:t>
      </w:r>
    </w:p>
    <w:p w14:paraId="06C199ED" w14:textId="77777777" w:rsidR="00496EE5" w:rsidRPr="00496EE5" w:rsidRDefault="00496EE5" w:rsidP="00496EE5">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96EE5">
        <w:rPr>
          <w:rFonts w:ascii="Times New Roman" w:eastAsia="Times New Roman" w:hAnsi="Times New Roman" w:cs="Times New Roman"/>
          <w:b/>
          <w:bCs/>
          <w:kern w:val="36"/>
          <w:sz w:val="28"/>
          <w:szCs w:val="28"/>
          <w:lang w:eastAsia="en-GB"/>
          <w14:ligatures w14:val="none"/>
        </w:rPr>
        <w:t>V. Integrity and transparency of the electoral process</w:t>
      </w:r>
    </w:p>
    <w:p w14:paraId="4C3AC8C0"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10. (Transparency of campaign finance)</w:t>
      </w:r>
    </w:p>
    <w:p w14:paraId="06345BAC" w14:textId="77777777" w:rsidR="00496EE5" w:rsidRP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maintaining the anonymity of campaign donors after the election is compatible with European standards on transparency and accountability in political financing.</w:t>
      </w:r>
    </w:p>
    <w:p w14:paraId="21AD9ADF"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11. (Supplementary voter lists and abnormal concentrations of voters)</w:t>
      </w:r>
    </w:p>
    <w:p w14:paraId="1C1B1822" w14:textId="77777777" w:rsidR="00496EE5" w:rsidRPr="00496EE5" w:rsidRDefault="00496EE5" w:rsidP="001043C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unusually high number of voters registered on supplementary lists in May 2025, including statistically abnormal concentrations of voters in small localities, raises concerns requiring independent verification before validating or annulling elections.</w:t>
      </w:r>
    </w:p>
    <w:p w14:paraId="56798FE4"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12. (Role of intelligence or telecommunications services)</w:t>
      </w:r>
    </w:p>
    <w:p w14:paraId="1091F8DF" w14:textId="77777777" w:rsidR="00496EE5" w:rsidRPr="00496EE5" w:rsidRDefault="00496EE5" w:rsidP="001043C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involvement of a national intelligence service or a special telecommunications service in the administration, transmission or management of electoral data is compatible with the standards of transparency, neutrality and independence required by the Code of Good Practice and the ECHR.</w:t>
      </w:r>
    </w:p>
    <w:p w14:paraId="1B0D060F"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13. (Need for a complete incident report)</w:t>
      </w:r>
    </w:p>
    <w:p w14:paraId="5DAE37B4" w14:textId="77777777" w:rsidR="00496EE5" w:rsidRPr="00496EE5" w:rsidRDefault="00496EE5" w:rsidP="0007736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prior to validating or annulling an election, a constitutional court should have access to a complete and transparent report on all electoral incidents, including the number of voters on permanent lists, supplementary lists, and any anomalies that may indicate potential fraud.</w:t>
      </w:r>
    </w:p>
    <w:p w14:paraId="7F9BCE73"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14. (Political expectations regarding exclusion of candidates)</w:t>
      </w:r>
    </w:p>
    <w:p w14:paraId="174C1EB8" w14:textId="77777777" w:rsidR="00496EE5" w:rsidRPr="00496EE5" w:rsidRDefault="00496EE5" w:rsidP="0007736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video evidence suggesting that political actors anticipated or discussed the potential exclusion of a leading candidate before the official decision raises concerns regarding the integrity and impartiality of the electoral process.</w:t>
      </w:r>
    </w:p>
    <w:p w14:paraId="7D05B512" w14:textId="77777777" w:rsidR="00496EE5" w:rsidRPr="00496EE5" w:rsidRDefault="00496EE5" w:rsidP="00496EE5">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96EE5">
        <w:rPr>
          <w:rFonts w:ascii="Times New Roman" w:eastAsia="Times New Roman" w:hAnsi="Times New Roman" w:cs="Times New Roman"/>
          <w:b/>
          <w:bCs/>
          <w:kern w:val="36"/>
          <w:sz w:val="28"/>
          <w:szCs w:val="28"/>
          <w:lang w:eastAsia="en-GB"/>
          <w14:ligatures w14:val="none"/>
        </w:rPr>
        <w:lastRenderedPageBreak/>
        <w:t>VI. Institutional guarantees and remedies</w:t>
      </w:r>
    </w:p>
    <w:p w14:paraId="5F006727"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15. (Appointment of constitutional judges)</w:t>
      </w:r>
    </w:p>
    <w:p w14:paraId="2D822780" w14:textId="77777777" w:rsidR="00496EE5" w:rsidRP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exclusive appointment of constitutional judges by political actors raises concerns regarding independence and impartiality in electoral disputes.</w:t>
      </w:r>
    </w:p>
    <w:p w14:paraId="7532154A"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16. (Absence of judicial remedy)</w:t>
      </w:r>
    </w:p>
    <w:p w14:paraId="1D67B624" w14:textId="77777777" w:rsidR="00496EE5" w:rsidRPr="00496EE5" w:rsidRDefault="00496EE5" w:rsidP="00496EE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Whether the absence of any judicial remedy against a constitutional court decision annulling elections is compatible with Article 6 of the ECHR and with the requirement of an effective system of appeal in electoral matters.</w:t>
      </w:r>
    </w:p>
    <w:p w14:paraId="2EC3391A" w14:textId="77777777" w:rsidR="00496EE5" w:rsidRPr="00496EE5" w:rsidRDefault="00496EE5" w:rsidP="00496EE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96EE5">
        <w:rPr>
          <w:rFonts w:ascii="Times New Roman" w:eastAsia="Times New Roman" w:hAnsi="Times New Roman" w:cs="Times New Roman"/>
          <w:b/>
          <w:bCs/>
          <w:kern w:val="0"/>
          <w:sz w:val="24"/>
          <w:szCs w:val="24"/>
          <w:lang w:eastAsia="en-GB"/>
          <w14:ligatures w14:val="none"/>
        </w:rPr>
        <w:t>17. (Voters’ freedom of choice)</w:t>
      </w:r>
    </w:p>
    <w:p w14:paraId="127272DD" w14:textId="77777777" w:rsidR="00496EE5" w:rsidRDefault="00496EE5" w:rsidP="0007736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96EE5">
        <w:rPr>
          <w:rFonts w:ascii="Times New Roman" w:eastAsia="Times New Roman" w:hAnsi="Times New Roman" w:cs="Times New Roman"/>
          <w:kern w:val="0"/>
          <w:sz w:val="24"/>
          <w:szCs w:val="24"/>
          <w:lang w:eastAsia="en-GB"/>
          <w14:ligatures w14:val="none"/>
        </w:rPr>
        <w:t>What remedies exist under European standards to ensure that voters retain genuine freedom of choice and are not restricted to candidates favoured by a narrow group of political or institutional actors.</w:t>
      </w:r>
    </w:p>
    <w:p w14:paraId="62F3F94B" w14:textId="77777777" w:rsidR="00051837" w:rsidRPr="00051837" w:rsidRDefault="00051837" w:rsidP="001F1286">
      <w:pPr>
        <w:spacing w:before="100" w:beforeAutospacing="1" w:after="100" w:afterAutospacing="1" w:line="240" w:lineRule="auto"/>
        <w:outlineLvl w:val="2"/>
        <w:rPr>
          <w:rFonts w:ascii="Times New Roman" w:hAnsi="Times New Roman" w:cs="Times New Roman"/>
          <w:sz w:val="24"/>
          <w:szCs w:val="24"/>
        </w:rPr>
      </w:pPr>
      <w:r w:rsidRPr="00051837">
        <w:rPr>
          <w:rStyle w:val="Strong"/>
          <w:rFonts w:ascii="Times New Roman" w:hAnsi="Times New Roman" w:cs="Times New Roman"/>
          <w:sz w:val="24"/>
          <w:szCs w:val="24"/>
        </w:rPr>
        <w:t>VII. Freedom of expression, cultural identity and historical debate (Law No. 241/2025, formerly PL</w:t>
      </w:r>
      <w:r w:rsidRPr="00051837">
        <w:rPr>
          <w:rStyle w:val="Strong"/>
          <w:rFonts w:ascii="Times New Roman" w:hAnsi="Times New Roman" w:cs="Times New Roman"/>
          <w:sz w:val="24"/>
          <w:szCs w:val="24"/>
        </w:rPr>
        <w:noBreakHyphen/>
        <w:t>x 168/2023)</w:t>
      </w:r>
      <w:r w:rsidRPr="00051837">
        <w:rPr>
          <w:rFonts w:ascii="Times New Roman" w:hAnsi="Times New Roman" w:cs="Times New Roman"/>
          <w:sz w:val="24"/>
          <w:szCs w:val="24"/>
        </w:rPr>
        <w:t xml:space="preserve"> </w:t>
      </w:r>
    </w:p>
    <w:p w14:paraId="6F338D8D" w14:textId="77777777" w:rsidR="00051837" w:rsidRPr="000B659E" w:rsidRDefault="00051837" w:rsidP="001F1286">
      <w:pPr>
        <w:spacing w:before="100" w:beforeAutospacing="1" w:after="100" w:afterAutospacing="1" w:line="240" w:lineRule="auto"/>
        <w:outlineLvl w:val="2"/>
        <w:rPr>
          <w:rFonts w:ascii="Times New Roman" w:hAnsi="Times New Roman" w:cs="Times New Roman"/>
          <w:sz w:val="24"/>
          <w:szCs w:val="24"/>
        </w:rPr>
      </w:pPr>
      <w:r w:rsidRPr="000B659E">
        <w:rPr>
          <w:rStyle w:val="Strong"/>
          <w:rFonts w:ascii="Times New Roman" w:hAnsi="Times New Roman" w:cs="Times New Roman"/>
          <w:sz w:val="24"/>
          <w:szCs w:val="24"/>
        </w:rPr>
        <w:t>18. (Compatibility with Articles 8, 10 and 14 ECHR)</w:t>
      </w:r>
    </w:p>
    <w:p w14:paraId="29C408BF" w14:textId="53409226" w:rsidR="00051837" w:rsidRPr="00051837" w:rsidRDefault="00051837" w:rsidP="00051837">
      <w:pPr>
        <w:spacing w:before="100" w:beforeAutospacing="1" w:after="100" w:afterAutospacing="1" w:line="240" w:lineRule="auto"/>
        <w:jc w:val="both"/>
        <w:outlineLvl w:val="2"/>
        <w:rPr>
          <w:rStyle w:val="Strong"/>
          <w:rFonts w:ascii="Times New Roman" w:hAnsi="Times New Roman" w:cs="Times New Roman"/>
          <w:b w:val="0"/>
          <w:bCs w:val="0"/>
          <w:sz w:val="24"/>
          <w:szCs w:val="24"/>
        </w:rPr>
      </w:pPr>
      <w:r w:rsidRPr="00051837">
        <w:rPr>
          <w:rStyle w:val="Strong"/>
          <w:rFonts w:ascii="Times New Roman" w:hAnsi="Times New Roman" w:cs="Times New Roman"/>
          <w:b w:val="0"/>
          <w:bCs w:val="0"/>
          <w:sz w:val="24"/>
          <w:szCs w:val="24"/>
        </w:rPr>
        <w:t>Whether the restrictions introduced by Law No. 241/2025, which criminalise certain forms of historical, cultural or political expression, are compatible with Articles 8, 10 and 14 of the European Convention on Human Rights, in light of the Court’s case law on freedom of expression, academic freedom, the protection of cultural and personal identity, the proportionality of criminal sanctions, and the prohibition on imposing an official version of history.</w:t>
      </w:r>
    </w:p>
    <w:p w14:paraId="4D86034E" w14:textId="378CA5DE" w:rsidR="001F1286" w:rsidRPr="001F1286" w:rsidRDefault="001F1286" w:rsidP="001F1286">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F1286">
        <w:rPr>
          <w:rFonts w:ascii="Times New Roman" w:eastAsia="Times New Roman" w:hAnsi="Times New Roman" w:cs="Times New Roman"/>
          <w:b/>
          <w:bCs/>
          <w:kern w:val="0"/>
          <w:sz w:val="24"/>
          <w:szCs w:val="24"/>
          <w:lang w:eastAsia="en-GB"/>
          <w14:ligatures w14:val="none"/>
        </w:rPr>
        <w:t>19. (Clarity, foreseeability and legal certainty)</w:t>
      </w:r>
    </w:p>
    <w:p w14:paraId="2939939D" w14:textId="77777777" w:rsidR="001F1286" w:rsidRPr="001F1286" w:rsidRDefault="001F1286" w:rsidP="0005183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F1286">
        <w:rPr>
          <w:rFonts w:ascii="Times New Roman" w:eastAsia="Times New Roman" w:hAnsi="Times New Roman" w:cs="Times New Roman"/>
          <w:kern w:val="0"/>
          <w:sz w:val="24"/>
          <w:szCs w:val="24"/>
          <w:lang w:eastAsia="en-GB"/>
          <w14:ligatures w14:val="none"/>
        </w:rPr>
        <w:t>Whether the vague, broad or incomplete definitions contained in Law No. 241/2025 — and the absence of definitions for essential terms such as “extremism”, “manifestation”, “symbol” or “promotion” — meet the requirements of clarity, foreseeability and legal certainty established by the European Court of Human Rights for any restriction on freedom of expression.</w:t>
      </w:r>
    </w:p>
    <w:p w14:paraId="20E0C46E" w14:textId="77777777" w:rsidR="001F1286" w:rsidRPr="001F1286" w:rsidRDefault="001F1286" w:rsidP="001F1286">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F1286">
        <w:rPr>
          <w:rFonts w:ascii="Times New Roman" w:eastAsia="Times New Roman" w:hAnsi="Times New Roman" w:cs="Times New Roman"/>
          <w:b/>
          <w:bCs/>
          <w:kern w:val="0"/>
          <w:sz w:val="24"/>
          <w:szCs w:val="24"/>
          <w:lang w:eastAsia="en-GB"/>
          <w14:ligatures w14:val="none"/>
        </w:rPr>
        <w:t>20. (Historical debate and academic freedom)</w:t>
      </w:r>
    </w:p>
    <w:p w14:paraId="69DC73FE" w14:textId="77777777" w:rsidR="001F1286" w:rsidRPr="001F1286" w:rsidRDefault="001F1286" w:rsidP="0005183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F1286">
        <w:rPr>
          <w:rFonts w:ascii="Times New Roman" w:eastAsia="Times New Roman" w:hAnsi="Times New Roman" w:cs="Times New Roman"/>
          <w:kern w:val="0"/>
          <w:sz w:val="24"/>
          <w:szCs w:val="24"/>
          <w:lang w:eastAsia="en-GB"/>
          <w14:ligatures w14:val="none"/>
        </w:rPr>
        <w:t>Whether provisions that restrict or penalise the critical examination of historical evidence, scholarly debate or dissenting interpretations of past events are compatible with the Court’s jurisprudence that the State must not impose a single, mandatory narrative of history.</w:t>
      </w:r>
    </w:p>
    <w:p w14:paraId="775FB00F" w14:textId="77777777" w:rsidR="001F1286" w:rsidRPr="001F1286" w:rsidRDefault="001F1286" w:rsidP="001F1286">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F1286">
        <w:rPr>
          <w:rFonts w:ascii="Times New Roman" w:eastAsia="Times New Roman" w:hAnsi="Times New Roman" w:cs="Times New Roman"/>
          <w:b/>
          <w:bCs/>
          <w:kern w:val="0"/>
          <w:sz w:val="24"/>
          <w:szCs w:val="24"/>
          <w:lang w:eastAsia="en-GB"/>
          <w14:ligatures w14:val="none"/>
        </w:rPr>
        <w:t>21. (Cultural identity and equality before the law)</w:t>
      </w:r>
    </w:p>
    <w:p w14:paraId="461DA7A2" w14:textId="232ECC19" w:rsidR="000B659E" w:rsidRPr="001F1286" w:rsidRDefault="000B659E" w:rsidP="0005183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B659E">
        <w:rPr>
          <w:rFonts w:ascii="Times New Roman" w:eastAsia="Times New Roman" w:hAnsi="Times New Roman" w:cs="Times New Roman"/>
          <w:kern w:val="0"/>
          <w:sz w:val="24"/>
          <w:szCs w:val="24"/>
          <w:lang w:eastAsia="en-GB"/>
          <w14:ligatures w14:val="none"/>
        </w:rPr>
        <w:t xml:space="preserve">Whether the creation of a distinct and privileged category of protection for conduct already covered by existing anti‑racism legislation—without demonstrating an objective and reasonable justification for such differentiation, and while expressions targeting the majority </w:t>
      </w:r>
      <w:r w:rsidRPr="000B659E">
        <w:rPr>
          <w:rFonts w:ascii="Times New Roman" w:eastAsia="Times New Roman" w:hAnsi="Times New Roman" w:cs="Times New Roman"/>
          <w:kern w:val="0"/>
          <w:sz w:val="24"/>
          <w:szCs w:val="24"/>
          <w:lang w:eastAsia="en-GB"/>
          <w14:ligatures w14:val="none"/>
        </w:rPr>
        <w:lastRenderedPageBreak/>
        <w:t>population remain outside the scope of criminal protection—is compatible with the principles of equality before the law and non‑discrimination under the Convention.</w:t>
      </w:r>
    </w:p>
    <w:p w14:paraId="62C1A3E9" w14:textId="77777777" w:rsidR="001F1286" w:rsidRPr="000B659E" w:rsidRDefault="001F1286" w:rsidP="000B659E">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en-GB"/>
          <w14:ligatures w14:val="none"/>
        </w:rPr>
      </w:pPr>
      <w:r w:rsidRPr="000B659E">
        <w:rPr>
          <w:rFonts w:ascii="Times New Roman" w:eastAsia="Times New Roman" w:hAnsi="Times New Roman" w:cs="Times New Roman"/>
          <w:b/>
          <w:bCs/>
          <w:kern w:val="0"/>
          <w:sz w:val="24"/>
          <w:szCs w:val="24"/>
          <w:lang w:eastAsia="en-GB"/>
          <w14:ligatures w14:val="none"/>
        </w:rPr>
        <w:t>22. (Patriotic expression and symbolic speech)</w:t>
      </w:r>
    </w:p>
    <w:p w14:paraId="5AB6C643" w14:textId="77777777" w:rsidR="00D47769" w:rsidRPr="000B659E" w:rsidRDefault="00D47769" w:rsidP="000B659E">
      <w:pPr>
        <w:spacing w:before="100" w:beforeAutospacing="1" w:after="100" w:afterAutospacing="1" w:line="240" w:lineRule="auto"/>
        <w:jc w:val="both"/>
        <w:outlineLvl w:val="2"/>
        <w:rPr>
          <w:rFonts w:ascii="Times New Roman" w:hAnsi="Times New Roman" w:cs="Times New Roman"/>
          <w:sz w:val="24"/>
          <w:szCs w:val="24"/>
        </w:rPr>
      </w:pPr>
      <w:r w:rsidRPr="000B659E">
        <w:rPr>
          <w:rFonts w:ascii="Times New Roman" w:hAnsi="Times New Roman" w:cs="Times New Roman"/>
          <w:sz w:val="24"/>
          <w:szCs w:val="24"/>
        </w:rPr>
        <w:t>Whether criminalising expressions that are merely patriotic, cultural or symbolic in nature — and which do not incite hatred, violence or discrimination — is compatible with Articles 8, 10 and 14 of the European Convention on Human Rights, in light of the Court’s case law on freedom of expression, the protection of cultural and personal identity, and the prohibition of discriminatory or disproportionate restrictions on symbolic or identity</w:t>
      </w:r>
      <w:r w:rsidRPr="000B659E">
        <w:rPr>
          <w:rFonts w:ascii="Times New Roman" w:hAnsi="Times New Roman" w:cs="Times New Roman"/>
          <w:sz w:val="24"/>
          <w:szCs w:val="24"/>
        </w:rPr>
        <w:noBreakHyphen/>
        <w:t>based speech.</w:t>
      </w:r>
    </w:p>
    <w:p w14:paraId="07DE6153" w14:textId="25BC48B5" w:rsidR="004E3E2E" w:rsidRPr="004E3E2E" w:rsidRDefault="001F1286" w:rsidP="004E3E2E">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F1286">
        <w:rPr>
          <w:rFonts w:ascii="Times New Roman" w:eastAsia="Times New Roman" w:hAnsi="Times New Roman" w:cs="Times New Roman"/>
          <w:b/>
          <w:bCs/>
          <w:kern w:val="0"/>
          <w:sz w:val="24"/>
          <w:szCs w:val="24"/>
          <w:lang w:eastAsia="en-GB"/>
          <w14:ligatures w14:val="none"/>
        </w:rPr>
        <w:t>23. (Necessity and proportionality of criminal sanctions)</w:t>
      </w:r>
    </w:p>
    <w:p w14:paraId="50D241E7" w14:textId="4FFAB4B4" w:rsidR="004E3E2E" w:rsidRDefault="004E3E2E" w:rsidP="00D4776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E3E2E">
        <w:rPr>
          <w:rFonts w:ascii="Times New Roman" w:eastAsia="Times New Roman" w:hAnsi="Times New Roman" w:cs="Times New Roman"/>
          <w:kern w:val="0"/>
          <w:sz w:val="24"/>
          <w:szCs w:val="24"/>
          <w:lang w:eastAsia="en-GB"/>
          <w14:ligatures w14:val="none"/>
        </w:rPr>
        <w:t>Whether the imposition of any criminal or administrative sanctions for expressions that merely reflect personal opinions, cultural preferences or critical views—even when such views may offend or displease certain social groups, but do not amount to incitement to hatred or violence—can satisfy the requirement of necessity in a democratic society, given that criminal law must remain a measure of ultima ratio.</w:t>
      </w:r>
    </w:p>
    <w:p w14:paraId="228E4452" w14:textId="77777777" w:rsidR="001E15D0" w:rsidRPr="001E15D0" w:rsidRDefault="001E15D0" w:rsidP="001E15D0">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1E15D0">
        <w:rPr>
          <w:rFonts w:ascii="Times New Roman" w:eastAsia="Times New Roman" w:hAnsi="Times New Roman" w:cs="Times New Roman"/>
          <w:b/>
          <w:bCs/>
          <w:kern w:val="0"/>
          <w:sz w:val="28"/>
          <w:szCs w:val="28"/>
          <w:lang w:eastAsia="en-GB"/>
          <w14:ligatures w14:val="none"/>
        </w:rPr>
        <w:t>VII. Democratic safeguards and institutional follow</w:t>
      </w:r>
      <w:r w:rsidRPr="001E15D0">
        <w:rPr>
          <w:rFonts w:ascii="Times New Roman" w:eastAsia="Times New Roman" w:hAnsi="Times New Roman" w:cs="Times New Roman"/>
          <w:b/>
          <w:bCs/>
          <w:kern w:val="0"/>
          <w:sz w:val="28"/>
          <w:szCs w:val="28"/>
          <w:lang w:eastAsia="en-GB"/>
          <w14:ligatures w14:val="none"/>
        </w:rPr>
        <w:noBreakHyphen/>
        <w:t>up</w:t>
      </w:r>
    </w:p>
    <w:p w14:paraId="2A9C7647" w14:textId="77777777" w:rsidR="001E15D0"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b/>
          <w:bCs/>
          <w:kern w:val="0"/>
          <w:sz w:val="24"/>
          <w:szCs w:val="24"/>
          <w:lang w:eastAsia="en-GB"/>
          <w14:ligatures w14:val="none"/>
        </w:rPr>
        <w:t>24. (International consequences and follow</w:t>
      </w:r>
      <w:r w:rsidRPr="001E15D0">
        <w:rPr>
          <w:rFonts w:ascii="Times New Roman" w:eastAsia="Times New Roman" w:hAnsi="Times New Roman" w:cs="Times New Roman"/>
          <w:b/>
          <w:bCs/>
          <w:kern w:val="0"/>
          <w:sz w:val="24"/>
          <w:szCs w:val="24"/>
          <w:lang w:eastAsia="en-GB"/>
          <w14:ligatures w14:val="none"/>
        </w:rPr>
        <w:noBreakHyphen/>
        <w:t>up mechanisms)</w:t>
      </w:r>
      <w:r w:rsidRPr="001E15D0">
        <w:rPr>
          <w:rFonts w:ascii="Times New Roman" w:eastAsia="Times New Roman" w:hAnsi="Times New Roman" w:cs="Times New Roman"/>
          <w:kern w:val="0"/>
          <w:sz w:val="24"/>
          <w:szCs w:val="24"/>
          <w:lang w:eastAsia="en-GB"/>
          <w14:ligatures w14:val="none"/>
        </w:rPr>
        <w:t xml:space="preserve"> </w:t>
      </w:r>
    </w:p>
    <w:p w14:paraId="59DA03A4" w14:textId="77777777" w:rsidR="00FE496C" w:rsidRDefault="00FE496C" w:rsidP="00FE496C">
      <w:pPr>
        <w:jc w:val="both"/>
        <w:rPr>
          <w:rFonts w:ascii="Times New Roman" w:hAnsi="Times New Roman" w:cs="Times New Roman"/>
          <w:sz w:val="24"/>
          <w:szCs w:val="24"/>
        </w:rPr>
      </w:pPr>
      <w:r w:rsidRPr="00FE496C">
        <w:rPr>
          <w:rFonts w:ascii="Times New Roman" w:hAnsi="Times New Roman" w:cs="Times New Roman"/>
          <w:sz w:val="24"/>
          <w:szCs w:val="24"/>
        </w:rPr>
        <w:t>What follow</w:t>
      </w:r>
      <w:r w:rsidRPr="00FE496C">
        <w:rPr>
          <w:rFonts w:ascii="Times New Roman" w:hAnsi="Times New Roman" w:cs="Times New Roman"/>
          <w:sz w:val="24"/>
          <w:szCs w:val="24"/>
        </w:rPr>
        <w:noBreakHyphen/>
        <w:t>up mechanisms, international consequences or institutional safeguards does the Venice Commission consider appropriate in situations where national authorities disregard its previous opinions on electoral standards or fundamental rights, thereby raising concerns about the effectiveness of democratic checks and balances and the State’s continued compliance with its international obligations?</w:t>
      </w:r>
    </w:p>
    <w:p w14:paraId="58F13C56" w14:textId="4430CA73" w:rsidR="003F6B6F" w:rsidRPr="00FE496C" w:rsidRDefault="003F6B6F" w:rsidP="00FE496C">
      <w:pPr>
        <w:jc w:val="both"/>
        <w:rPr>
          <w:rFonts w:ascii="Times New Roman" w:hAnsi="Times New Roman" w:cs="Times New Roman"/>
          <w:sz w:val="24"/>
          <w:szCs w:val="24"/>
        </w:rPr>
      </w:pPr>
      <w:r w:rsidRPr="003F6B6F">
        <w:rPr>
          <w:rFonts w:ascii="Times New Roman" w:hAnsi="Times New Roman" w:cs="Times New Roman"/>
          <w:sz w:val="24"/>
          <w:szCs w:val="24"/>
        </w:rPr>
        <w:t>In light of these concerns, the memorandum respectfully submits that the situation raises questions regarding the effectiveness of existing democratic safeguards and the mechanisms available at the international level when previous opinions of the Venice Commission are disregarded. The matter is brought to the Commission’s attention solely for its assessment within its mandate and expertise</w:t>
      </w:r>
      <w:r w:rsidR="005379CA">
        <w:rPr>
          <w:rFonts w:ascii="Times New Roman" w:hAnsi="Times New Roman" w:cs="Times New Roman"/>
          <w:sz w:val="24"/>
          <w:szCs w:val="24"/>
        </w:rPr>
        <w:t>.</w:t>
      </w:r>
    </w:p>
    <w:p w14:paraId="783B5A96" w14:textId="61FD7A5D" w:rsidR="00284C27" w:rsidRDefault="003E1E8B" w:rsidP="00FE496C">
      <w:pPr>
        <w:jc w:val="both"/>
      </w:pPr>
      <w:r w:rsidRPr="00FE496C">
        <w:rPr>
          <w:rFonts w:ascii="Times New Roman" w:hAnsi="Times New Roman" w:cs="Times New Roman"/>
          <w:sz w:val="24"/>
          <w:szCs w:val="24"/>
        </w:rPr>
        <w:t>Taken together, the issues raised in this memorandum — concerning both the legality of the nationwide annulment of elections and the compatibility of Law No. 241/2025 with freedom of expression and cultural identity — point to broader democratic implications that go beyond the individual measures themselves. Clarification from the Venice Commission is therefore essential to ensure that Romania’s electoral framework and its regulation of public expression remain fully aligned with the principles of democratic pluralism, legal certainty and the effective protection of fundamental rights under the European Convention on Human Rights</w:t>
      </w:r>
      <w:r>
        <w:t>.</w:t>
      </w:r>
    </w:p>
    <w:p w14:paraId="1370CF21" w14:textId="77777777" w:rsidR="003F6B6F" w:rsidRDefault="003F6B6F" w:rsidP="00FE496C">
      <w:pPr>
        <w:jc w:val="both"/>
      </w:pPr>
    </w:p>
    <w:p w14:paraId="4A70AA89" w14:textId="1A6D6A1E" w:rsidR="003F6B6F" w:rsidRPr="005379CA" w:rsidRDefault="003F6B6F" w:rsidP="00FE496C">
      <w:pPr>
        <w:jc w:val="both"/>
        <w:rPr>
          <w:rFonts w:ascii="Times New Roman" w:hAnsi="Times New Roman" w:cs="Times New Roman"/>
          <w:sz w:val="24"/>
          <w:szCs w:val="24"/>
        </w:rPr>
      </w:pPr>
      <w:r w:rsidRPr="005379CA">
        <w:rPr>
          <w:rFonts w:ascii="Times New Roman" w:hAnsi="Times New Roman" w:cs="Times New Roman"/>
          <w:sz w:val="24"/>
          <w:szCs w:val="24"/>
        </w:rPr>
        <w:t xml:space="preserve">Respectfully Submitted, </w:t>
      </w:r>
    </w:p>
    <w:p w14:paraId="687127F4" w14:textId="6DA27214" w:rsidR="003F6B6F" w:rsidRPr="00DD055B" w:rsidRDefault="003F6B6F" w:rsidP="00DD055B">
      <w:pPr>
        <w:jc w:val="both"/>
      </w:pPr>
      <w:r>
        <w:t>(</w:t>
      </w:r>
      <w:proofErr w:type="spellStart"/>
      <w:r>
        <w:t>Semnatura</w:t>
      </w:r>
      <w:proofErr w:type="spellEnd"/>
      <w:r>
        <w:t>)</w:t>
      </w:r>
    </w:p>
    <w:p w14:paraId="3E87C8BF" w14:textId="4208D8C7" w:rsidR="001E15D0" w:rsidRPr="003F6B6F" w:rsidRDefault="001E15D0" w:rsidP="001E15D0">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3F6B6F">
        <w:rPr>
          <w:rFonts w:ascii="Times New Roman" w:eastAsia="Times New Roman" w:hAnsi="Times New Roman" w:cs="Times New Roman"/>
          <w:b/>
          <w:bCs/>
          <w:kern w:val="36"/>
          <w:sz w:val="28"/>
          <w:szCs w:val="28"/>
          <w:lang w:eastAsia="en-GB"/>
          <w14:ligatures w14:val="none"/>
        </w:rPr>
        <w:lastRenderedPageBreak/>
        <w:t>Annex 1 – Relevant provisions of Law No. 415/2002 on the organisation and functioning of the CSAT</w:t>
      </w:r>
    </w:p>
    <w:p w14:paraId="7A2D1C6D" w14:textId="77777777" w:rsidR="001E15D0" w:rsidRPr="001E15D0" w:rsidRDefault="001E15D0" w:rsidP="001E15D0">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15D0">
        <w:rPr>
          <w:rFonts w:ascii="Times New Roman" w:eastAsia="Times New Roman" w:hAnsi="Times New Roman" w:cs="Times New Roman"/>
          <w:b/>
          <w:bCs/>
          <w:kern w:val="0"/>
          <w:sz w:val="24"/>
          <w:szCs w:val="24"/>
          <w:lang w:eastAsia="en-GB"/>
          <w14:ligatures w14:val="none"/>
        </w:rPr>
        <w:t>Article 1 – Role of the CSAT</w:t>
      </w:r>
    </w:p>
    <w:p w14:paraId="2FA88805" w14:textId="77777777" w:rsidR="001E15D0" w:rsidRPr="001E15D0"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The CSAT coordinates activities related to the defence of the country and national security.</w:t>
      </w:r>
    </w:p>
    <w:p w14:paraId="6F76FC8F" w14:textId="77777777" w:rsidR="001E15D0" w:rsidRPr="001E15D0" w:rsidRDefault="001E15D0" w:rsidP="001E15D0">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15D0">
        <w:rPr>
          <w:rFonts w:ascii="Times New Roman" w:eastAsia="Times New Roman" w:hAnsi="Times New Roman" w:cs="Times New Roman"/>
          <w:b/>
          <w:bCs/>
          <w:kern w:val="0"/>
          <w:sz w:val="24"/>
          <w:szCs w:val="24"/>
          <w:lang w:eastAsia="en-GB"/>
          <w14:ligatures w14:val="none"/>
        </w:rPr>
        <w:t>Article 4 – Powers of the CSAT (excerpts)</w:t>
      </w:r>
    </w:p>
    <w:p w14:paraId="74043D7D" w14:textId="77777777" w:rsidR="00186358"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The CSAT:</w:t>
      </w:r>
    </w:p>
    <w:p w14:paraId="661AD4BE" w14:textId="77777777" w:rsidR="00186358"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 xml:space="preserve">• analyses national security issues; </w:t>
      </w:r>
    </w:p>
    <w:p w14:paraId="70D66CC5" w14:textId="77777777" w:rsidR="00186358"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 coordinates the implementation of national defence strategies;</w:t>
      </w:r>
    </w:p>
    <w:p w14:paraId="24828D3B" w14:textId="77777777" w:rsidR="00186358"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 approves plans and reports in the field of national security;</w:t>
      </w:r>
    </w:p>
    <w:p w14:paraId="71B1A160" w14:textId="77777777" w:rsidR="00186358"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 endorses draft normative acts in the field of national security;</w:t>
      </w:r>
    </w:p>
    <w:p w14:paraId="42C3E47F" w14:textId="6911FA06" w:rsidR="001E15D0" w:rsidRPr="001E15D0"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 ensures the coordination of public authorities with responsibilities in national security.</w:t>
      </w:r>
    </w:p>
    <w:p w14:paraId="7021C15D" w14:textId="77777777" w:rsidR="001E15D0" w:rsidRPr="001E15D0" w:rsidRDefault="001E15D0" w:rsidP="001E15D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E15D0">
        <w:rPr>
          <w:rFonts w:ascii="Times New Roman" w:eastAsia="Times New Roman" w:hAnsi="Times New Roman" w:cs="Times New Roman"/>
          <w:b/>
          <w:bCs/>
          <w:kern w:val="0"/>
          <w:sz w:val="27"/>
          <w:szCs w:val="27"/>
          <w:lang w:eastAsia="en-GB"/>
          <w14:ligatures w14:val="none"/>
        </w:rPr>
        <w:t>Conclusion</w:t>
      </w:r>
    </w:p>
    <w:p w14:paraId="5A03F5D5" w14:textId="77777777" w:rsidR="001E15D0" w:rsidRPr="001E15D0" w:rsidRDefault="001E15D0" w:rsidP="001E15D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15D0">
        <w:rPr>
          <w:rFonts w:ascii="Times New Roman" w:eastAsia="Times New Roman" w:hAnsi="Times New Roman" w:cs="Times New Roman"/>
          <w:kern w:val="0"/>
          <w:sz w:val="24"/>
          <w:szCs w:val="24"/>
          <w:lang w:eastAsia="en-GB"/>
          <w14:ligatures w14:val="none"/>
        </w:rPr>
        <w:t>No provision of Law No. 415/2002 grants the CSAT any competence in electoral matters.</w:t>
      </w:r>
    </w:p>
    <w:p w14:paraId="0C2BAF77"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C3F6850"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BA628C4"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C9292C9"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FAECA1E"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33E7C1B7"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95BF773"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17AF484" w14:textId="77777777" w:rsidR="00186358" w:rsidRDefault="00186358" w:rsidP="00DE6E13">
      <w:pPr>
        <w:spacing w:before="100" w:beforeAutospacing="1" w:after="100" w:afterAutospacing="1" w:line="240" w:lineRule="auto"/>
        <w:outlineLvl w:val="0"/>
        <w:rPr>
          <w:rFonts w:ascii="Times New Roman" w:eastAsia="Times New Roman" w:hAnsi="Times New Roman" w:cs="Times New Roman"/>
          <w:b/>
          <w:bCs/>
          <w:kern w:val="36"/>
          <w:sz w:val="32"/>
          <w:szCs w:val="32"/>
          <w:lang w:eastAsia="en-GB"/>
          <w14:ligatures w14:val="none"/>
        </w:rPr>
      </w:pPr>
    </w:p>
    <w:p w14:paraId="73911523" w14:textId="77777777" w:rsidR="003F6B6F" w:rsidRDefault="003F6B6F" w:rsidP="00DE6E13">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605BC782" w14:textId="1C473A37" w:rsidR="00DE6E13" w:rsidRPr="003F6B6F" w:rsidRDefault="00DE6E13" w:rsidP="00DE6E13">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3F6B6F">
        <w:rPr>
          <w:rFonts w:ascii="Times New Roman" w:eastAsia="Times New Roman" w:hAnsi="Times New Roman" w:cs="Times New Roman"/>
          <w:b/>
          <w:bCs/>
          <w:kern w:val="36"/>
          <w:sz w:val="28"/>
          <w:szCs w:val="28"/>
          <w:lang w:eastAsia="en-GB"/>
          <w14:ligatures w14:val="none"/>
        </w:rPr>
        <w:lastRenderedPageBreak/>
        <w:t>Annex 2 – Constitutional and legal requirements for presidential eligibility</w:t>
      </w:r>
    </w:p>
    <w:p w14:paraId="746EFF8A" w14:textId="77777777" w:rsidR="003F6B6F" w:rsidRDefault="003F6B6F" w:rsidP="00DE6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3C01B772" w14:textId="5DFE00BB" w:rsidR="00DE6E13" w:rsidRPr="003F6B6F" w:rsidRDefault="00DE6E13" w:rsidP="00DE6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3F6B6F">
        <w:rPr>
          <w:rFonts w:ascii="Times New Roman" w:eastAsia="Times New Roman" w:hAnsi="Times New Roman" w:cs="Times New Roman"/>
          <w:b/>
          <w:bCs/>
          <w:kern w:val="0"/>
          <w:sz w:val="24"/>
          <w:szCs w:val="24"/>
          <w:lang w:eastAsia="en-GB"/>
          <w14:ligatures w14:val="none"/>
        </w:rPr>
        <w:t>1. Article 37 of the Romanian Constitution – Right to be elected</w:t>
      </w:r>
    </w:p>
    <w:p w14:paraId="28E75580" w14:textId="77777777" w:rsidR="00DE6E13" w:rsidRPr="00DE6E13" w:rsidRDefault="00DE6E13" w:rsidP="004703D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Article 37 strictly regulates the conditions under which a person is eligible to stand as a candidate for public office. Eligibility restrictions are </w:t>
      </w:r>
      <w:r w:rsidRPr="00DE6E13">
        <w:rPr>
          <w:rFonts w:ascii="Times New Roman" w:eastAsia="Times New Roman" w:hAnsi="Times New Roman" w:cs="Times New Roman"/>
          <w:b/>
          <w:bCs/>
          <w:kern w:val="0"/>
          <w:sz w:val="24"/>
          <w:szCs w:val="24"/>
          <w:lang w:eastAsia="en-GB"/>
          <w14:ligatures w14:val="none"/>
        </w:rPr>
        <w:t>exhaustively listed</w:t>
      </w:r>
      <w:r w:rsidRPr="00DE6E13">
        <w:rPr>
          <w:rFonts w:ascii="Times New Roman" w:eastAsia="Times New Roman" w:hAnsi="Times New Roman" w:cs="Times New Roman"/>
          <w:kern w:val="0"/>
          <w:sz w:val="24"/>
          <w:szCs w:val="24"/>
          <w:lang w:eastAsia="en-GB"/>
          <w14:ligatures w14:val="none"/>
        </w:rPr>
        <w:t xml:space="preserve"> and may be applied </w:t>
      </w:r>
      <w:r w:rsidRPr="00DE6E13">
        <w:rPr>
          <w:rFonts w:ascii="Times New Roman" w:eastAsia="Times New Roman" w:hAnsi="Times New Roman" w:cs="Times New Roman"/>
          <w:b/>
          <w:bCs/>
          <w:kern w:val="0"/>
          <w:sz w:val="24"/>
          <w:szCs w:val="24"/>
          <w:lang w:eastAsia="en-GB"/>
          <w14:ligatures w14:val="none"/>
        </w:rPr>
        <w:t>only</w:t>
      </w:r>
      <w:r w:rsidRPr="00DE6E13">
        <w:rPr>
          <w:rFonts w:ascii="Times New Roman" w:eastAsia="Times New Roman" w:hAnsi="Times New Roman" w:cs="Times New Roman"/>
          <w:kern w:val="0"/>
          <w:sz w:val="24"/>
          <w:szCs w:val="24"/>
          <w:lang w:eastAsia="en-GB"/>
          <w14:ligatures w14:val="none"/>
        </w:rPr>
        <w:t xml:space="preserve"> in cases expressly provided by law.</w:t>
      </w:r>
    </w:p>
    <w:p w14:paraId="4DC7D51C" w14:textId="77777777" w:rsidR="00DE6E13" w:rsidRPr="003F6B6F" w:rsidRDefault="00DE6E13" w:rsidP="00DE6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3F6B6F">
        <w:rPr>
          <w:rFonts w:ascii="Times New Roman" w:eastAsia="Times New Roman" w:hAnsi="Times New Roman" w:cs="Times New Roman"/>
          <w:b/>
          <w:bCs/>
          <w:kern w:val="0"/>
          <w:sz w:val="24"/>
          <w:szCs w:val="24"/>
          <w:lang w:eastAsia="en-GB"/>
          <w14:ligatures w14:val="none"/>
        </w:rPr>
        <w:t>2. Article 28 of Law No. 370/2004 on the election of the President</w:t>
      </w:r>
    </w:p>
    <w:p w14:paraId="06476333" w14:textId="77777777" w:rsidR="00DE6E13" w:rsidRPr="00DE6E13" w:rsidRDefault="00DE6E13" w:rsidP="00DE6E1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Article 28 provides that a candidacy for the office of President may be prohibited </w:t>
      </w:r>
      <w:r w:rsidRPr="00DE6E13">
        <w:rPr>
          <w:rFonts w:ascii="Times New Roman" w:eastAsia="Times New Roman" w:hAnsi="Times New Roman" w:cs="Times New Roman"/>
          <w:b/>
          <w:bCs/>
          <w:kern w:val="0"/>
          <w:sz w:val="24"/>
          <w:szCs w:val="24"/>
          <w:lang w:eastAsia="en-GB"/>
          <w14:ligatures w14:val="none"/>
        </w:rPr>
        <w:t>only</w:t>
      </w:r>
      <w:r w:rsidRPr="00DE6E13">
        <w:rPr>
          <w:rFonts w:ascii="Times New Roman" w:eastAsia="Times New Roman" w:hAnsi="Times New Roman" w:cs="Times New Roman"/>
          <w:kern w:val="0"/>
          <w:sz w:val="24"/>
          <w:szCs w:val="24"/>
          <w:lang w:eastAsia="en-GB"/>
          <w14:ligatures w14:val="none"/>
        </w:rPr>
        <w:t xml:space="preserve"> in the event of a </w:t>
      </w:r>
      <w:r w:rsidRPr="00DE6E13">
        <w:rPr>
          <w:rFonts w:ascii="Times New Roman" w:eastAsia="Times New Roman" w:hAnsi="Times New Roman" w:cs="Times New Roman"/>
          <w:b/>
          <w:bCs/>
          <w:kern w:val="0"/>
          <w:sz w:val="24"/>
          <w:szCs w:val="24"/>
          <w:lang w:eastAsia="en-GB"/>
          <w14:ligatures w14:val="none"/>
        </w:rPr>
        <w:t>final criminal conviction for an intentional offence</w:t>
      </w:r>
      <w:r w:rsidRPr="00DE6E13">
        <w:rPr>
          <w:rFonts w:ascii="Times New Roman" w:eastAsia="Times New Roman" w:hAnsi="Times New Roman" w:cs="Times New Roman"/>
          <w:kern w:val="0"/>
          <w:sz w:val="24"/>
          <w:szCs w:val="24"/>
          <w:lang w:eastAsia="en-GB"/>
          <w14:ligatures w14:val="none"/>
        </w:rPr>
        <w:t>, and only in the absence of rehabilitation, amnesty, or decriminalisation.</w:t>
      </w:r>
    </w:p>
    <w:p w14:paraId="6AE28AF9" w14:textId="77777777" w:rsidR="00DE6E13" w:rsidRPr="00DE6E13" w:rsidRDefault="00DE6E13" w:rsidP="00DE6E13">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t>3. Application to the May 2025 presidential elections</w:t>
      </w:r>
    </w:p>
    <w:p w14:paraId="0FFA6B3F" w14:textId="77777777" w:rsidR="00DE6E13" w:rsidRPr="00DE6E13" w:rsidRDefault="00DE6E13" w:rsidP="004703D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Despite the exhaustive nature of these constitutional and statutory provisions, two candidates — </w:t>
      </w:r>
      <w:r w:rsidRPr="00DE6E13">
        <w:rPr>
          <w:rFonts w:ascii="Times New Roman" w:eastAsia="Times New Roman" w:hAnsi="Times New Roman" w:cs="Times New Roman"/>
          <w:b/>
          <w:bCs/>
          <w:kern w:val="0"/>
          <w:sz w:val="24"/>
          <w:szCs w:val="24"/>
          <w:lang w:eastAsia="en-GB"/>
          <w14:ligatures w14:val="none"/>
        </w:rPr>
        <w:t xml:space="preserve">Diana </w:t>
      </w:r>
      <w:proofErr w:type="spellStart"/>
      <w:r w:rsidRPr="00DE6E13">
        <w:rPr>
          <w:rFonts w:ascii="Times New Roman" w:eastAsia="Times New Roman" w:hAnsi="Times New Roman" w:cs="Times New Roman"/>
          <w:b/>
          <w:bCs/>
          <w:kern w:val="0"/>
          <w:sz w:val="24"/>
          <w:szCs w:val="24"/>
          <w:lang w:eastAsia="en-GB"/>
          <w14:ligatures w14:val="none"/>
        </w:rPr>
        <w:t>Șoșoacă</w:t>
      </w:r>
      <w:proofErr w:type="spellEnd"/>
      <w:r w:rsidRPr="00DE6E13">
        <w:rPr>
          <w:rFonts w:ascii="Times New Roman" w:eastAsia="Times New Roman" w:hAnsi="Times New Roman" w:cs="Times New Roman"/>
          <w:kern w:val="0"/>
          <w:sz w:val="24"/>
          <w:szCs w:val="24"/>
          <w:lang w:eastAsia="en-GB"/>
          <w14:ligatures w14:val="none"/>
        </w:rPr>
        <w:t xml:space="preserve"> </w:t>
      </w:r>
      <w:proofErr w:type="spellStart"/>
      <w:r w:rsidRPr="00DE6E13">
        <w:rPr>
          <w:rFonts w:ascii="Times New Roman" w:eastAsia="Times New Roman" w:hAnsi="Times New Roman" w:cs="Times New Roman"/>
          <w:kern w:val="0"/>
          <w:sz w:val="24"/>
          <w:szCs w:val="24"/>
          <w:lang w:eastAsia="en-GB"/>
          <w14:ligatures w14:val="none"/>
        </w:rPr>
        <w:t>și</w:t>
      </w:r>
      <w:proofErr w:type="spellEnd"/>
      <w:r w:rsidRPr="00DE6E13">
        <w:rPr>
          <w:rFonts w:ascii="Times New Roman" w:eastAsia="Times New Roman" w:hAnsi="Times New Roman" w:cs="Times New Roman"/>
          <w:kern w:val="0"/>
          <w:sz w:val="24"/>
          <w:szCs w:val="24"/>
          <w:lang w:eastAsia="en-GB"/>
          <w14:ligatures w14:val="none"/>
        </w:rPr>
        <w:t xml:space="preserve"> </w:t>
      </w:r>
      <w:r w:rsidRPr="00DE6E13">
        <w:rPr>
          <w:rFonts w:ascii="Times New Roman" w:eastAsia="Times New Roman" w:hAnsi="Times New Roman" w:cs="Times New Roman"/>
          <w:b/>
          <w:bCs/>
          <w:kern w:val="0"/>
          <w:sz w:val="24"/>
          <w:szCs w:val="24"/>
          <w:lang w:eastAsia="en-GB"/>
          <w14:ligatures w14:val="none"/>
        </w:rPr>
        <w:t>Călin Georgescu</w:t>
      </w:r>
      <w:r w:rsidRPr="00DE6E13">
        <w:rPr>
          <w:rFonts w:ascii="Times New Roman" w:eastAsia="Times New Roman" w:hAnsi="Times New Roman" w:cs="Times New Roman"/>
          <w:kern w:val="0"/>
          <w:sz w:val="24"/>
          <w:szCs w:val="24"/>
          <w:lang w:eastAsia="en-GB"/>
          <w14:ligatures w14:val="none"/>
        </w:rPr>
        <w:t xml:space="preserve"> — were prevented from standing in the </w:t>
      </w:r>
      <w:r w:rsidRPr="00DE6E13">
        <w:rPr>
          <w:rFonts w:ascii="Times New Roman" w:eastAsia="Times New Roman" w:hAnsi="Times New Roman" w:cs="Times New Roman"/>
          <w:b/>
          <w:bCs/>
          <w:kern w:val="0"/>
          <w:sz w:val="24"/>
          <w:szCs w:val="24"/>
          <w:lang w:eastAsia="en-GB"/>
          <w14:ligatures w14:val="none"/>
        </w:rPr>
        <w:t>May 2025 presidential elections</w:t>
      </w:r>
      <w:r w:rsidRPr="00DE6E13">
        <w:rPr>
          <w:rFonts w:ascii="Times New Roman" w:eastAsia="Times New Roman" w:hAnsi="Times New Roman" w:cs="Times New Roman"/>
          <w:kern w:val="0"/>
          <w:sz w:val="24"/>
          <w:szCs w:val="24"/>
          <w:lang w:eastAsia="en-GB"/>
          <w14:ligatures w14:val="none"/>
        </w:rPr>
        <w:t xml:space="preserve">, although </w:t>
      </w:r>
      <w:r w:rsidRPr="00DE6E13">
        <w:rPr>
          <w:rFonts w:ascii="Times New Roman" w:eastAsia="Times New Roman" w:hAnsi="Times New Roman" w:cs="Times New Roman"/>
          <w:b/>
          <w:bCs/>
          <w:kern w:val="0"/>
          <w:sz w:val="24"/>
          <w:szCs w:val="24"/>
          <w:lang w:eastAsia="en-GB"/>
          <w14:ligatures w14:val="none"/>
        </w:rPr>
        <w:t>neither had a final criminal conviction</w:t>
      </w:r>
      <w:r w:rsidRPr="00DE6E13">
        <w:rPr>
          <w:rFonts w:ascii="Times New Roman" w:eastAsia="Times New Roman" w:hAnsi="Times New Roman" w:cs="Times New Roman"/>
          <w:kern w:val="0"/>
          <w:sz w:val="24"/>
          <w:szCs w:val="24"/>
          <w:lang w:eastAsia="en-GB"/>
          <w14:ligatures w14:val="none"/>
        </w:rPr>
        <w:t xml:space="preserve"> that would trigger the constitutional or statutory grounds for ineligibility.</w:t>
      </w:r>
    </w:p>
    <w:p w14:paraId="14F0FBDF" w14:textId="77777777" w:rsidR="00DE6E13" w:rsidRPr="00DE6E13" w:rsidRDefault="00DE6E13" w:rsidP="004703D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Their exclusion was therefore </w:t>
      </w:r>
      <w:r w:rsidRPr="00DE6E13">
        <w:rPr>
          <w:rFonts w:ascii="Times New Roman" w:eastAsia="Times New Roman" w:hAnsi="Times New Roman" w:cs="Times New Roman"/>
          <w:b/>
          <w:bCs/>
          <w:kern w:val="0"/>
          <w:sz w:val="24"/>
          <w:szCs w:val="24"/>
          <w:lang w:eastAsia="en-GB"/>
          <w14:ligatures w14:val="none"/>
        </w:rPr>
        <w:t>not based on any legal ground recognised by Article 37 of the Constitution or Article 28 of Law No. 370/2004</w:t>
      </w:r>
      <w:r w:rsidRPr="00DE6E13">
        <w:rPr>
          <w:rFonts w:ascii="Times New Roman" w:eastAsia="Times New Roman" w:hAnsi="Times New Roman" w:cs="Times New Roman"/>
          <w:kern w:val="0"/>
          <w:sz w:val="24"/>
          <w:szCs w:val="24"/>
          <w:lang w:eastAsia="en-GB"/>
          <w14:ligatures w14:val="none"/>
        </w:rPr>
        <w:t>.</w:t>
      </w:r>
    </w:p>
    <w:p w14:paraId="4F6AF1C1" w14:textId="77777777" w:rsidR="00DE6E13" w:rsidRPr="00DE6E13" w:rsidRDefault="00DE6E13" w:rsidP="00DE6E13">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t>4. Additional context: October 2024 presidential elections</w:t>
      </w:r>
    </w:p>
    <w:p w14:paraId="54C9470A" w14:textId="77777777" w:rsidR="00DE6E13" w:rsidRPr="00DE6E13" w:rsidRDefault="00DE6E13" w:rsidP="004703D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In the </w:t>
      </w:r>
      <w:r w:rsidRPr="00DE6E13">
        <w:rPr>
          <w:rFonts w:ascii="Times New Roman" w:eastAsia="Times New Roman" w:hAnsi="Times New Roman" w:cs="Times New Roman"/>
          <w:b/>
          <w:bCs/>
          <w:kern w:val="0"/>
          <w:sz w:val="24"/>
          <w:szCs w:val="24"/>
          <w:lang w:eastAsia="en-GB"/>
          <w14:ligatures w14:val="none"/>
        </w:rPr>
        <w:t>October 2024</w:t>
      </w:r>
      <w:r w:rsidRPr="00DE6E13">
        <w:rPr>
          <w:rFonts w:ascii="Times New Roman" w:eastAsia="Times New Roman" w:hAnsi="Times New Roman" w:cs="Times New Roman"/>
          <w:kern w:val="0"/>
          <w:sz w:val="24"/>
          <w:szCs w:val="24"/>
          <w:lang w:eastAsia="en-GB"/>
          <w14:ligatures w14:val="none"/>
        </w:rPr>
        <w:t xml:space="preserve"> presidential elections, candidate </w:t>
      </w:r>
      <w:r w:rsidRPr="00DE6E13">
        <w:rPr>
          <w:rFonts w:ascii="Times New Roman" w:eastAsia="Times New Roman" w:hAnsi="Times New Roman" w:cs="Times New Roman"/>
          <w:b/>
          <w:bCs/>
          <w:kern w:val="0"/>
          <w:sz w:val="24"/>
          <w:szCs w:val="24"/>
          <w:lang w:eastAsia="en-GB"/>
          <w14:ligatures w14:val="none"/>
        </w:rPr>
        <w:t>Diana Șoșoacă</w:t>
      </w:r>
      <w:r w:rsidRPr="00DE6E13">
        <w:rPr>
          <w:rFonts w:ascii="Times New Roman" w:eastAsia="Times New Roman" w:hAnsi="Times New Roman" w:cs="Times New Roman"/>
          <w:kern w:val="0"/>
          <w:sz w:val="24"/>
          <w:szCs w:val="24"/>
          <w:lang w:eastAsia="en-GB"/>
          <w14:ligatures w14:val="none"/>
        </w:rPr>
        <w:t xml:space="preserve"> was also prevented from standing. According to the public reasoning provided at the time, the exclusion was based on:</w:t>
      </w:r>
    </w:p>
    <w:p w14:paraId="48B720E0" w14:textId="77777777" w:rsidR="00DE6E13" w:rsidRPr="00DE6E13" w:rsidRDefault="00DE6E13" w:rsidP="004703DE">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t>statements and positions considered by the authorities as contrary to constitutional values</w:t>
      </w:r>
      <w:r w:rsidRPr="00DE6E13">
        <w:rPr>
          <w:rFonts w:ascii="Times New Roman" w:eastAsia="Times New Roman" w:hAnsi="Times New Roman" w:cs="Times New Roman"/>
          <w:kern w:val="0"/>
          <w:sz w:val="24"/>
          <w:szCs w:val="24"/>
          <w:lang w:eastAsia="en-GB"/>
          <w14:ligatures w14:val="none"/>
        </w:rPr>
        <w:t>,</w:t>
      </w:r>
    </w:p>
    <w:p w14:paraId="34750DD6" w14:textId="77777777" w:rsidR="00DE6E13" w:rsidRPr="00DE6E13" w:rsidRDefault="00DE6E13" w:rsidP="004703DE">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t>criticisms perceived as challenging the constitutional order</w:t>
      </w:r>
      <w:r w:rsidRPr="00DE6E13">
        <w:rPr>
          <w:rFonts w:ascii="Times New Roman" w:eastAsia="Times New Roman" w:hAnsi="Times New Roman" w:cs="Times New Roman"/>
          <w:kern w:val="0"/>
          <w:sz w:val="24"/>
          <w:szCs w:val="24"/>
          <w:lang w:eastAsia="en-GB"/>
          <w14:ligatures w14:val="none"/>
        </w:rPr>
        <w:t>,</w:t>
      </w:r>
    </w:p>
    <w:p w14:paraId="09A0AA21" w14:textId="77777777" w:rsidR="00DE6E13" w:rsidRPr="00DE6E13" w:rsidRDefault="00DE6E13" w:rsidP="004703DE">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t>public positions regarding Romania’s membership in the European Union</w:t>
      </w:r>
      <w:r w:rsidRPr="00DE6E13">
        <w:rPr>
          <w:rFonts w:ascii="Times New Roman" w:eastAsia="Times New Roman" w:hAnsi="Times New Roman" w:cs="Times New Roman"/>
          <w:kern w:val="0"/>
          <w:sz w:val="24"/>
          <w:szCs w:val="24"/>
          <w:lang w:eastAsia="en-GB"/>
          <w14:ligatures w14:val="none"/>
        </w:rPr>
        <w:t>, interpreted by the authorities as incompatible with the obligations arising from Article 148 of the Constitution.</w:t>
      </w:r>
    </w:p>
    <w:p w14:paraId="27A671FC" w14:textId="77777777" w:rsidR="00DE6E13" w:rsidRPr="004703DE" w:rsidRDefault="00DE6E13" w:rsidP="004703DE">
      <w:pPr>
        <w:pStyle w:val="ListParagraph"/>
        <w:numPr>
          <w:ilvl w:val="0"/>
          <w:numId w:val="22"/>
        </w:num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en-GB"/>
          <w14:ligatures w14:val="none"/>
        </w:rPr>
      </w:pPr>
      <w:r w:rsidRPr="004703DE">
        <w:rPr>
          <w:rFonts w:ascii="Times New Roman" w:eastAsia="Times New Roman" w:hAnsi="Times New Roman" w:cs="Times New Roman"/>
          <w:b/>
          <w:bCs/>
          <w:kern w:val="0"/>
          <w:sz w:val="24"/>
          <w:szCs w:val="24"/>
          <w:lang w:eastAsia="en-GB"/>
          <w14:ligatures w14:val="none"/>
        </w:rPr>
        <w:t>Clarification regarding EU membership</w:t>
      </w:r>
    </w:p>
    <w:p w14:paraId="376FA07F" w14:textId="77777777" w:rsidR="00DE6E13" w:rsidRPr="00DE6E13" w:rsidRDefault="00DE6E13" w:rsidP="004703DE">
      <w:pPr>
        <w:pStyle w:val="ListParagraph"/>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Romania’s membership in the European Union is </w:t>
      </w:r>
      <w:r w:rsidRPr="00DE6E13">
        <w:rPr>
          <w:rFonts w:ascii="Times New Roman" w:eastAsia="Times New Roman" w:hAnsi="Times New Roman" w:cs="Times New Roman"/>
          <w:b/>
          <w:bCs/>
          <w:kern w:val="0"/>
          <w:sz w:val="24"/>
          <w:szCs w:val="24"/>
          <w:lang w:eastAsia="en-GB"/>
          <w14:ligatures w14:val="none"/>
        </w:rPr>
        <w:t>not</w:t>
      </w:r>
      <w:r w:rsidRPr="00DE6E13">
        <w:rPr>
          <w:rFonts w:ascii="Times New Roman" w:eastAsia="Times New Roman" w:hAnsi="Times New Roman" w:cs="Times New Roman"/>
          <w:kern w:val="0"/>
          <w:sz w:val="24"/>
          <w:szCs w:val="24"/>
          <w:lang w:eastAsia="en-GB"/>
          <w14:ligatures w14:val="none"/>
        </w:rPr>
        <w:t xml:space="preserve"> an element of the constitutional identity protected by Article 152 of the Constitution. Article 148 regulates the effects of EU law </w:t>
      </w:r>
      <w:r w:rsidRPr="00DE6E13">
        <w:rPr>
          <w:rFonts w:ascii="Times New Roman" w:eastAsia="Times New Roman" w:hAnsi="Times New Roman" w:cs="Times New Roman"/>
          <w:i/>
          <w:iCs/>
          <w:kern w:val="0"/>
          <w:sz w:val="24"/>
          <w:szCs w:val="24"/>
          <w:lang w:eastAsia="en-GB"/>
          <w14:ligatures w14:val="none"/>
        </w:rPr>
        <w:t>while Romania is a member</w:t>
      </w:r>
      <w:r w:rsidRPr="00DE6E13">
        <w:rPr>
          <w:rFonts w:ascii="Times New Roman" w:eastAsia="Times New Roman" w:hAnsi="Times New Roman" w:cs="Times New Roman"/>
          <w:kern w:val="0"/>
          <w:sz w:val="24"/>
          <w:szCs w:val="24"/>
          <w:lang w:eastAsia="en-GB"/>
          <w14:ligatures w14:val="none"/>
        </w:rPr>
        <w:t xml:space="preserve">, but </w:t>
      </w:r>
      <w:r w:rsidRPr="00DE6E13">
        <w:rPr>
          <w:rFonts w:ascii="Times New Roman" w:eastAsia="Times New Roman" w:hAnsi="Times New Roman" w:cs="Times New Roman"/>
          <w:b/>
          <w:bCs/>
          <w:kern w:val="0"/>
          <w:sz w:val="24"/>
          <w:szCs w:val="24"/>
          <w:lang w:eastAsia="en-GB"/>
          <w14:ligatures w14:val="none"/>
        </w:rPr>
        <w:t>the Constitution does not prohibit public debate on potential withdrawal</w:t>
      </w:r>
      <w:r w:rsidRPr="00DE6E13">
        <w:rPr>
          <w:rFonts w:ascii="Times New Roman" w:eastAsia="Times New Roman" w:hAnsi="Times New Roman" w:cs="Times New Roman"/>
          <w:kern w:val="0"/>
          <w:sz w:val="24"/>
          <w:szCs w:val="24"/>
          <w:lang w:eastAsia="en-GB"/>
          <w14:ligatures w14:val="none"/>
        </w:rPr>
        <w:t>. A democratic withdrawal would be legally possible through a referendum, as demonstrated by the United Kingdom’s exit from the EU.</w:t>
      </w:r>
    </w:p>
    <w:p w14:paraId="506CFAB5" w14:textId="77777777" w:rsidR="00DE6E13" w:rsidRPr="00DE6E13" w:rsidRDefault="00DE6E13" w:rsidP="00DE6E13">
      <w:pPr>
        <w:pStyle w:val="ListParagraph"/>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Thus, none of the reasons invoked in 2024 fall within the </w:t>
      </w:r>
      <w:r w:rsidRPr="00DE6E13">
        <w:rPr>
          <w:rFonts w:ascii="Times New Roman" w:eastAsia="Times New Roman" w:hAnsi="Times New Roman" w:cs="Times New Roman"/>
          <w:b/>
          <w:bCs/>
          <w:kern w:val="0"/>
          <w:sz w:val="24"/>
          <w:szCs w:val="24"/>
          <w:lang w:eastAsia="en-GB"/>
          <w14:ligatures w14:val="none"/>
        </w:rPr>
        <w:t>exhaustive constitutional and statutory grounds</w:t>
      </w:r>
      <w:r w:rsidRPr="00DE6E13">
        <w:rPr>
          <w:rFonts w:ascii="Times New Roman" w:eastAsia="Times New Roman" w:hAnsi="Times New Roman" w:cs="Times New Roman"/>
          <w:kern w:val="0"/>
          <w:sz w:val="24"/>
          <w:szCs w:val="24"/>
          <w:lang w:eastAsia="en-GB"/>
          <w14:ligatures w14:val="none"/>
        </w:rPr>
        <w:t xml:space="preserve"> for prohibiting a presidential candidacy.</w:t>
      </w:r>
    </w:p>
    <w:p w14:paraId="48255222" w14:textId="77777777" w:rsidR="004703DE" w:rsidRDefault="004703DE" w:rsidP="00DE6E13">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p>
    <w:p w14:paraId="36FA0E66" w14:textId="683EB151" w:rsidR="00DE6E13" w:rsidRPr="00DE6E13" w:rsidRDefault="00DE6E13" w:rsidP="00DE6E13">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DE6E13">
        <w:rPr>
          <w:rFonts w:ascii="Times New Roman" w:eastAsia="Times New Roman" w:hAnsi="Times New Roman" w:cs="Times New Roman"/>
          <w:b/>
          <w:bCs/>
          <w:kern w:val="0"/>
          <w:sz w:val="24"/>
          <w:szCs w:val="24"/>
          <w:lang w:eastAsia="en-GB"/>
          <w14:ligatures w14:val="none"/>
        </w:rPr>
        <w:lastRenderedPageBreak/>
        <w:t>5. Conclusion</w:t>
      </w:r>
    </w:p>
    <w:p w14:paraId="32074076" w14:textId="77777777" w:rsidR="00DE6E13" w:rsidRPr="00DE6E13" w:rsidRDefault="00DE6E13" w:rsidP="00DE6E1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Across both the </w:t>
      </w:r>
      <w:r w:rsidRPr="00DE6E13">
        <w:rPr>
          <w:rFonts w:ascii="Times New Roman" w:eastAsia="Times New Roman" w:hAnsi="Times New Roman" w:cs="Times New Roman"/>
          <w:b/>
          <w:bCs/>
          <w:kern w:val="0"/>
          <w:sz w:val="24"/>
          <w:szCs w:val="24"/>
          <w:lang w:eastAsia="en-GB"/>
          <w14:ligatures w14:val="none"/>
        </w:rPr>
        <w:t>2024</w:t>
      </w:r>
      <w:r w:rsidRPr="00DE6E13">
        <w:rPr>
          <w:rFonts w:ascii="Times New Roman" w:eastAsia="Times New Roman" w:hAnsi="Times New Roman" w:cs="Times New Roman"/>
          <w:kern w:val="0"/>
          <w:sz w:val="24"/>
          <w:szCs w:val="24"/>
          <w:lang w:eastAsia="en-GB"/>
          <w14:ligatures w14:val="none"/>
        </w:rPr>
        <w:t xml:space="preserve"> and </w:t>
      </w:r>
      <w:r w:rsidRPr="00DE6E13">
        <w:rPr>
          <w:rFonts w:ascii="Times New Roman" w:eastAsia="Times New Roman" w:hAnsi="Times New Roman" w:cs="Times New Roman"/>
          <w:b/>
          <w:bCs/>
          <w:kern w:val="0"/>
          <w:sz w:val="24"/>
          <w:szCs w:val="24"/>
          <w:lang w:eastAsia="en-GB"/>
          <w14:ligatures w14:val="none"/>
        </w:rPr>
        <w:t>2025</w:t>
      </w:r>
      <w:r w:rsidRPr="00DE6E13">
        <w:rPr>
          <w:rFonts w:ascii="Times New Roman" w:eastAsia="Times New Roman" w:hAnsi="Times New Roman" w:cs="Times New Roman"/>
          <w:kern w:val="0"/>
          <w:sz w:val="24"/>
          <w:szCs w:val="24"/>
          <w:lang w:eastAsia="en-GB"/>
          <w14:ligatures w14:val="none"/>
        </w:rPr>
        <w:t xml:space="preserve"> electoral cycles, the exclusion of candidates was </w:t>
      </w:r>
      <w:r w:rsidRPr="00DE6E13">
        <w:rPr>
          <w:rFonts w:ascii="Times New Roman" w:eastAsia="Times New Roman" w:hAnsi="Times New Roman" w:cs="Times New Roman"/>
          <w:b/>
          <w:bCs/>
          <w:kern w:val="0"/>
          <w:sz w:val="24"/>
          <w:szCs w:val="24"/>
          <w:lang w:eastAsia="en-GB"/>
          <w14:ligatures w14:val="none"/>
        </w:rPr>
        <w:t>not grounded in any constitutional or statutory provision</w:t>
      </w:r>
      <w:r w:rsidRPr="00DE6E13">
        <w:rPr>
          <w:rFonts w:ascii="Times New Roman" w:eastAsia="Times New Roman" w:hAnsi="Times New Roman" w:cs="Times New Roman"/>
          <w:kern w:val="0"/>
          <w:sz w:val="24"/>
          <w:szCs w:val="24"/>
          <w:lang w:eastAsia="en-GB"/>
          <w14:ligatures w14:val="none"/>
        </w:rPr>
        <w:t xml:space="preserve"> governing eligibility for the office of President. These measures raise serious concerns regarding:</w:t>
      </w:r>
    </w:p>
    <w:p w14:paraId="5B40CDCD" w14:textId="77777777" w:rsidR="00DE6E13" w:rsidRPr="00DE6E13" w:rsidRDefault="00DE6E13" w:rsidP="00DE6E13">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the </w:t>
      </w:r>
      <w:r w:rsidRPr="00DE6E13">
        <w:rPr>
          <w:rFonts w:ascii="Times New Roman" w:eastAsia="Times New Roman" w:hAnsi="Times New Roman" w:cs="Times New Roman"/>
          <w:b/>
          <w:bCs/>
          <w:kern w:val="0"/>
          <w:sz w:val="24"/>
          <w:szCs w:val="24"/>
          <w:lang w:eastAsia="en-GB"/>
          <w14:ligatures w14:val="none"/>
        </w:rPr>
        <w:t>legality</w:t>
      </w:r>
      <w:r w:rsidRPr="00DE6E13">
        <w:rPr>
          <w:rFonts w:ascii="Times New Roman" w:eastAsia="Times New Roman" w:hAnsi="Times New Roman" w:cs="Times New Roman"/>
          <w:kern w:val="0"/>
          <w:sz w:val="24"/>
          <w:szCs w:val="24"/>
          <w:lang w:eastAsia="en-GB"/>
          <w14:ligatures w14:val="none"/>
        </w:rPr>
        <w:t xml:space="preserve"> of the electoral process,</w:t>
      </w:r>
    </w:p>
    <w:p w14:paraId="602410A1" w14:textId="77777777" w:rsidR="00DE6E13" w:rsidRPr="00DE6E13" w:rsidRDefault="00DE6E13" w:rsidP="00DE6E13">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the </w:t>
      </w:r>
      <w:r w:rsidRPr="00DE6E13">
        <w:rPr>
          <w:rFonts w:ascii="Times New Roman" w:eastAsia="Times New Roman" w:hAnsi="Times New Roman" w:cs="Times New Roman"/>
          <w:b/>
          <w:bCs/>
          <w:kern w:val="0"/>
          <w:sz w:val="24"/>
          <w:szCs w:val="24"/>
          <w:lang w:eastAsia="en-GB"/>
          <w14:ligatures w14:val="none"/>
        </w:rPr>
        <w:t>right to stand for election</w:t>
      </w:r>
      <w:r w:rsidRPr="00DE6E13">
        <w:rPr>
          <w:rFonts w:ascii="Times New Roman" w:eastAsia="Times New Roman" w:hAnsi="Times New Roman" w:cs="Times New Roman"/>
          <w:kern w:val="0"/>
          <w:sz w:val="24"/>
          <w:szCs w:val="24"/>
          <w:lang w:eastAsia="en-GB"/>
          <w14:ligatures w14:val="none"/>
        </w:rPr>
        <w:t>,</w:t>
      </w:r>
    </w:p>
    <w:p w14:paraId="629EE48D" w14:textId="77777777" w:rsidR="00DE6E13" w:rsidRPr="00DE6E13" w:rsidRDefault="00DE6E13" w:rsidP="00DE6E13">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E6E13">
        <w:rPr>
          <w:rFonts w:ascii="Times New Roman" w:eastAsia="Times New Roman" w:hAnsi="Times New Roman" w:cs="Times New Roman"/>
          <w:kern w:val="0"/>
          <w:sz w:val="24"/>
          <w:szCs w:val="24"/>
          <w:lang w:eastAsia="en-GB"/>
          <w14:ligatures w14:val="none"/>
        </w:rPr>
        <w:t xml:space="preserve">and the </w:t>
      </w:r>
      <w:r w:rsidRPr="00DE6E13">
        <w:rPr>
          <w:rFonts w:ascii="Times New Roman" w:eastAsia="Times New Roman" w:hAnsi="Times New Roman" w:cs="Times New Roman"/>
          <w:b/>
          <w:bCs/>
          <w:kern w:val="0"/>
          <w:sz w:val="24"/>
          <w:szCs w:val="24"/>
          <w:lang w:eastAsia="en-GB"/>
          <w14:ligatures w14:val="none"/>
        </w:rPr>
        <w:t>respect for democratic pluralism</w:t>
      </w:r>
      <w:r w:rsidRPr="00DE6E13">
        <w:rPr>
          <w:rFonts w:ascii="Times New Roman" w:eastAsia="Times New Roman" w:hAnsi="Times New Roman" w:cs="Times New Roman"/>
          <w:kern w:val="0"/>
          <w:sz w:val="24"/>
          <w:szCs w:val="24"/>
          <w:lang w:eastAsia="en-GB"/>
          <w14:ligatures w14:val="none"/>
        </w:rPr>
        <w:t>.</w:t>
      </w:r>
    </w:p>
    <w:p w14:paraId="72C174ED" w14:textId="77777777" w:rsidR="006C257A" w:rsidRDefault="006C257A"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A8D7EC8"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A1FA209"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32EBC2FF"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689D133"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03DDEBB"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7CAF1AF"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0EFDE89"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D776957"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1C66DDC"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FB49A04"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2267668"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9DD3AC7" w14:textId="77777777" w:rsidR="004703DE" w:rsidRDefault="004703DE" w:rsidP="006C257A">
      <w:pPr>
        <w:spacing w:before="100" w:beforeAutospacing="1" w:after="100" w:afterAutospacing="1" w:line="240" w:lineRule="auto"/>
        <w:outlineLvl w:val="0"/>
        <w:rPr>
          <w:rFonts w:ascii="Times New Roman" w:eastAsia="Times New Roman" w:hAnsi="Times New Roman" w:cs="Times New Roman"/>
          <w:b/>
          <w:bCs/>
          <w:kern w:val="36"/>
          <w:sz w:val="32"/>
          <w:szCs w:val="32"/>
          <w:lang w:eastAsia="en-GB"/>
          <w14:ligatures w14:val="none"/>
        </w:rPr>
      </w:pPr>
    </w:p>
    <w:p w14:paraId="2CD11749" w14:textId="33AE897C" w:rsidR="006C257A" w:rsidRPr="00026B64" w:rsidRDefault="006C257A" w:rsidP="006C257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026B64">
        <w:rPr>
          <w:rFonts w:ascii="Times New Roman" w:eastAsia="Times New Roman" w:hAnsi="Times New Roman" w:cs="Times New Roman"/>
          <w:b/>
          <w:bCs/>
          <w:kern w:val="36"/>
          <w:sz w:val="28"/>
          <w:szCs w:val="28"/>
          <w:lang w:eastAsia="en-GB"/>
          <w14:ligatures w14:val="none"/>
        </w:rPr>
        <w:lastRenderedPageBreak/>
        <w:t>Annex 3 – Public Statements of the President of the Romanian Constitutional Court</w:t>
      </w:r>
    </w:p>
    <w:p w14:paraId="6C772249" w14:textId="77777777" w:rsidR="006C257A" w:rsidRPr="004703DE" w:rsidRDefault="006C257A" w:rsidP="006C257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703DE">
        <w:rPr>
          <w:rFonts w:ascii="Times New Roman" w:eastAsia="Times New Roman" w:hAnsi="Times New Roman" w:cs="Times New Roman"/>
          <w:b/>
          <w:bCs/>
          <w:kern w:val="0"/>
          <w:sz w:val="24"/>
          <w:szCs w:val="24"/>
          <w:lang w:eastAsia="en-GB"/>
          <w14:ligatures w14:val="none"/>
        </w:rPr>
        <w:t>1. Overview</w:t>
      </w:r>
    </w:p>
    <w:p w14:paraId="316B3166" w14:textId="77777777" w:rsidR="006C257A" w:rsidRPr="006C257A" w:rsidRDefault="006C257A" w:rsidP="006F2F3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This annex compiles a series of public statements made by </w:t>
      </w:r>
      <w:r w:rsidRPr="006C257A">
        <w:rPr>
          <w:rFonts w:ascii="Times New Roman" w:eastAsia="Times New Roman" w:hAnsi="Times New Roman" w:cs="Times New Roman"/>
          <w:b/>
          <w:bCs/>
          <w:kern w:val="0"/>
          <w:sz w:val="24"/>
          <w:szCs w:val="24"/>
          <w:lang w:eastAsia="en-GB"/>
          <w14:ligatures w14:val="none"/>
        </w:rPr>
        <w:t>Mr. Marian Enache</w:t>
      </w:r>
      <w:r w:rsidRPr="006C257A">
        <w:rPr>
          <w:rFonts w:ascii="Times New Roman" w:eastAsia="Times New Roman" w:hAnsi="Times New Roman" w:cs="Times New Roman"/>
          <w:kern w:val="0"/>
          <w:sz w:val="24"/>
          <w:szCs w:val="24"/>
          <w:lang w:eastAsia="en-GB"/>
          <w14:ligatures w14:val="none"/>
        </w:rPr>
        <w:t>, President of the Romanian Constitutional Court (CCR), concerning democracy, constitutional order, and the annulment of elections. These statements are relevant for assessing the institutional context in which the nationwide annulment of elections was justified and publicly defended.</w:t>
      </w:r>
    </w:p>
    <w:p w14:paraId="6125D76A" w14:textId="77777777" w:rsidR="006C257A" w:rsidRPr="006C257A" w:rsidRDefault="006C257A" w:rsidP="006C257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2. Statements referring to constitutional democracy and institutional fragility</w:t>
      </w:r>
    </w:p>
    <w:p w14:paraId="03C5E896" w14:textId="77777777" w:rsidR="006C257A" w:rsidRP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In several interviews and public communications, the President of the Constitutional Court referred to:</w:t>
      </w:r>
    </w:p>
    <w:p w14:paraId="5A786542" w14:textId="77777777" w:rsidR="006C257A" w:rsidRPr="006C257A" w:rsidRDefault="006C257A" w:rsidP="006F2F3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w:t>
      </w:r>
      <w:r w:rsidRPr="006C257A">
        <w:rPr>
          <w:rFonts w:ascii="Times New Roman" w:eastAsia="Times New Roman" w:hAnsi="Times New Roman" w:cs="Times New Roman"/>
          <w:b/>
          <w:bCs/>
          <w:kern w:val="0"/>
          <w:sz w:val="24"/>
          <w:szCs w:val="24"/>
          <w:lang w:eastAsia="en-GB"/>
          <w14:ligatures w14:val="none"/>
        </w:rPr>
        <w:t>fragility of democracy</w:t>
      </w:r>
      <w:r w:rsidRPr="006C257A">
        <w:rPr>
          <w:rFonts w:ascii="Times New Roman" w:eastAsia="Times New Roman" w:hAnsi="Times New Roman" w:cs="Times New Roman"/>
          <w:kern w:val="0"/>
          <w:sz w:val="24"/>
          <w:szCs w:val="24"/>
          <w:lang w:eastAsia="en-GB"/>
          <w14:ligatures w14:val="none"/>
        </w:rPr>
        <w:t xml:space="preserve"> and the need to protect constitutional institutions;</w:t>
      </w:r>
    </w:p>
    <w:p w14:paraId="57D1799B" w14:textId="77777777" w:rsidR="006C257A" w:rsidRPr="006C257A" w:rsidRDefault="006C257A" w:rsidP="006F2F3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role of the Constitutional Court as a </w:t>
      </w:r>
      <w:r w:rsidRPr="006C257A">
        <w:rPr>
          <w:rFonts w:ascii="Times New Roman" w:eastAsia="Times New Roman" w:hAnsi="Times New Roman" w:cs="Times New Roman"/>
          <w:b/>
          <w:bCs/>
          <w:kern w:val="0"/>
          <w:sz w:val="24"/>
          <w:szCs w:val="24"/>
          <w:lang w:eastAsia="en-GB"/>
          <w14:ligatures w14:val="none"/>
        </w:rPr>
        <w:t>guarantor of constitutional democracy</w:t>
      </w:r>
      <w:r w:rsidRPr="006C257A">
        <w:rPr>
          <w:rFonts w:ascii="Times New Roman" w:eastAsia="Times New Roman" w:hAnsi="Times New Roman" w:cs="Times New Roman"/>
          <w:kern w:val="0"/>
          <w:sz w:val="24"/>
          <w:szCs w:val="24"/>
          <w:lang w:eastAsia="en-GB"/>
          <w14:ligatures w14:val="none"/>
        </w:rPr>
        <w:t>;</w:t>
      </w:r>
    </w:p>
    <w:p w14:paraId="1A3306FA" w14:textId="77777777" w:rsidR="006C257A" w:rsidRPr="006C257A" w:rsidRDefault="006C257A" w:rsidP="006F2F3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concerns regarding </w:t>
      </w:r>
      <w:r w:rsidRPr="006C257A">
        <w:rPr>
          <w:rFonts w:ascii="Times New Roman" w:eastAsia="Times New Roman" w:hAnsi="Times New Roman" w:cs="Times New Roman"/>
          <w:b/>
          <w:bCs/>
          <w:kern w:val="0"/>
          <w:sz w:val="24"/>
          <w:szCs w:val="24"/>
          <w:lang w:eastAsia="en-GB"/>
          <w14:ligatures w14:val="none"/>
        </w:rPr>
        <w:t>social and institutional vulnerabilities</w:t>
      </w:r>
      <w:r w:rsidRPr="006C257A">
        <w:rPr>
          <w:rFonts w:ascii="Times New Roman" w:eastAsia="Times New Roman" w:hAnsi="Times New Roman" w:cs="Times New Roman"/>
          <w:kern w:val="0"/>
          <w:sz w:val="24"/>
          <w:szCs w:val="24"/>
          <w:lang w:eastAsia="en-GB"/>
          <w14:ligatures w14:val="none"/>
        </w:rPr>
        <w:t xml:space="preserve"> that may affect democratic stability.</w:t>
      </w:r>
    </w:p>
    <w:p w14:paraId="6DED0CE9" w14:textId="77777777" w:rsidR="006F2F3E"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Sources:</w:t>
      </w:r>
      <w:r w:rsidRPr="006C257A">
        <w:rPr>
          <w:rFonts w:ascii="Times New Roman" w:eastAsia="Times New Roman" w:hAnsi="Times New Roman" w:cs="Times New Roman"/>
          <w:kern w:val="0"/>
          <w:sz w:val="24"/>
          <w:szCs w:val="24"/>
          <w:lang w:eastAsia="en-GB"/>
          <w14:ligatures w14:val="none"/>
        </w:rPr>
        <w:t xml:space="preserve"> </w:t>
      </w:r>
    </w:p>
    <w:p w14:paraId="3546C21F" w14:textId="1E8A5DDF" w:rsidR="00026B64"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Interview published on the CCR website: </w:t>
      </w:r>
      <w:hyperlink r:id="rId9" w:history="1">
        <w:r w:rsidRPr="006C257A">
          <w:rPr>
            <w:rStyle w:val="Hyperlink"/>
            <w:rFonts w:ascii="Times New Roman" w:eastAsia="Times New Roman" w:hAnsi="Times New Roman" w:cs="Times New Roman"/>
            <w:kern w:val="0"/>
            <w:sz w:val="24"/>
            <w:szCs w:val="24"/>
            <w:lang w:eastAsia="en-GB"/>
            <w14:ligatures w14:val="none"/>
          </w:rPr>
          <w:t>https://www.ccr.ro/interviul-presedintelui-curtii-constitutionale-dl-marian-enache/</w:t>
        </w:r>
      </w:hyperlink>
      <w:r>
        <w:rPr>
          <w:rFonts w:ascii="Times New Roman" w:eastAsia="Times New Roman" w:hAnsi="Times New Roman" w:cs="Times New Roman"/>
          <w:kern w:val="0"/>
          <w:sz w:val="24"/>
          <w:szCs w:val="24"/>
          <w:lang w:eastAsia="en-GB"/>
          <w14:ligatures w14:val="none"/>
        </w:rPr>
        <w:t xml:space="preserve"> </w:t>
      </w:r>
      <w:bookmarkStart w:id="0" w:name="_Hlk218380947"/>
      <w:r w:rsidR="00026B64">
        <w:rPr>
          <w:rFonts w:ascii="Times New Roman" w:eastAsia="Times New Roman" w:hAnsi="Times New Roman" w:cs="Times New Roman"/>
          <w:kern w:val="0"/>
          <w:sz w:val="24"/>
          <w:szCs w:val="24"/>
          <w:lang w:eastAsia="en-GB"/>
          <w14:ligatures w14:val="none"/>
        </w:rPr>
        <w:t>(Accessed on 4 December 2026).</w:t>
      </w:r>
      <w:bookmarkEnd w:id="0"/>
    </w:p>
    <w:p w14:paraId="329F6C3A" w14:textId="4CF05D89" w:rsid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 Juridice.ro analysis: </w:t>
      </w:r>
      <w:hyperlink r:id="rId10" w:history="1">
        <w:r w:rsidRPr="006C257A">
          <w:rPr>
            <w:rStyle w:val="Hyperlink"/>
            <w:rFonts w:ascii="Times New Roman" w:eastAsia="Times New Roman" w:hAnsi="Times New Roman" w:cs="Times New Roman"/>
            <w:kern w:val="0"/>
            <w:sz w:val="24"/>
            <w:szCs w:val="24"/>
            <w:lang w:eastAsia="en-GB"/>
            <w14:ligatures w14:val="none"/>
          </w:rPr>
          <w:t>https://www.juridice.ro/essentials/8746/marian-enache-presedintele-ccr-fragilitatea-democratiei-se-regaseste-in-insasi-fragilitatea-structurilor-sociale-de-baza-ale-societatii-noastre-curtea-constitutionala-este-garantul-democratiei-cons</w:t>
        </w:r>
      </w:hyperlink>
      <w:r>
        <w:rPr>
          <w:rFonts w:ascii="Times New Roman" w:eastAsia="Times New Roman" w:hAnsi="Times New Roman" w:cs="Times New Roman"/>
          <w:kern w:val="0"/>
          <w:sz w:val="24"/>
          <w:szCs w:val="24"/>
          <w:lang w:eastAsia="en-GB"/>
          <w14:ligatures w14:val="none"/>
        </w:rPr>
        <w:t xml:space="preserve"> </w:t>
      </w:r>
      <w:r w:rsidR="00543A19">
        <w:rPr>
          <w:rFonts w:ascii="Times New Roman" w:eastAsia="Times New Roman" w:hAnsi="Times New Roman" w:cs="Times New Roman"/>
          <w:kern w:val="0"/>
          <w:sz w:val="24"/>
          <w:szCs w:val="24"/>
          <w:lang w:eastAsia="en-GB"/>
          <w14:ligatures w14:val="none"/>
        </w:rPr>
        <w:t>(Accessed on 4 December 2026).</w:t>
      </w:r>
    </w:p>
    <w:p w14:paraId="3377EBD8" w14:textId="77777777" w:rsidR="006C257A" w:rsidRPr="006C257A" w:rsidRDefault="006C257A" w:rsidP="006C257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3. Statements concerning the annulment of elections</w:t>
      </w:r>
    </w:p>
    <w:p w14:paraId="1A9F94D6" w14:textId="77777777" w:rsidR="006C257A" w:rsidRP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President of the CCR publicly described the </w:t>
      </w:r>
      <w:r w:rsidRPr="006C257A">
        <w:rPr>
          <w:rFonts w:ascii="Times New Roman" w:eastAsia="Times New Roman" w:hAnsi="Times New Roman" w:cs="Times New Roman"/>
          <w:b/>
          <w:bCs/>
          <w:kern w:val="0"/>
          <w:sz w:val="24"/>
          <w:szCs w:val="24"/>
          <w:lang w:eastAsia="en-GB"/>
          <w14:ligatures w14:val="none"/>
        </w:rPr>
        <w:t>annulment of the elections</w:t>
      </w:r>
      <w:r w:rsidRPr="006C257A">
        <w:rPr>
          <w:rFonts w:ascii="Times New Roman" w:eastAsia="Times New Roman" w:hAnsi="Times New Roman" w:cs="Times New Roman"/>
          <w:kern w:val="0"/>
          <w:sz w:val="24"/>
          <w:szCs w:val="24"/>
          <w:lang w:eastAsia="en-GB"/>
          <w14:ligatures w14:val="none"/>
        </w:rPr>
        <w:t xml:space="preserve"> as:</w:t>
      </w:r>
    </w:p>
    <w:p w14:paraId="771DA7A3" w14:textId="77777777" w:rsidR="006C257A" w:rsidRPr="006C257A" w:rsidRDefault="006C257A" w:rsidP="006C257A">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a </w:t>
      </w:r>
      <w:r w:rsidRPr="006C257A">
        <w:rPr>
          <w:rFonts w:ascii="Times New Roman" w:eastAsia="Times New Roman" w:hAnsi="Times New Roman" w:cs="Times New Roman"/>
          <w:b/>
          <w:bCs/>
          <w:kern w:val="0"/>
          <w:sz w:val="24"/>
          <w:szCs w:val="24"/>
          <w:lang w:eastAsia="en-GB"/>
          <w14:ligatures w14:val="none"/>
        </w:rPr>
        <w:t>measure to defend the Romanian State</w:t>
      </w:r>
      <w:r w:rsidRPr="006C257A">
        <w:rPr>
          <w:rFonts w:ascii="Times New Roman" w:eastAsia="Times New Roman" w:hAnsi="Times New Roman" w:cs="Times New Roman"/>
          <w:kern w:val="0"/>
          <w:sz w:val="24"/>
          <w:szCs w:val="24"/>
          <w:lang w:eastAsia="en-GB"/>
          <w14:ligatures w14:val="none"/>
        </w:rPr>
        <w:t>;</w:t>
      </w:r>
    </w:p>
    <w:p w14:paraId="47B50682" w14:textId="77777777" w:rsidR="006C257A" w:rsidRPr="006C257A" w:rsidRDefault="006C257A" w:rsidP="006C257A">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an action aimed at protecting </w:t>
      </w:r>
      <w:r w:rsidRPr="006C257A">
        <w:rPr>
          <w:rFonts w:ascii="Times New Roman" w:eastAsia="Times New Roman" w:hAnsi="Times New Roman" w:cs="Times New Roman"/>
          <w:b/>
          <w:bCs/>
          <w:kern w:val="0"/>
          <w:sz w:val="24"/>
          <w:szCs w:val="24"/>
          <w:lang w:eastAsia="en-GB"/>
          <w14:ligatures w14:val="none"/>
        </w:rPr>
        <w:t>constitutional democracy</w:t>
      </w:r>
      <w:r w:rsidRPr="006C257A">
        <w:rPr>
          <w:rFonts w:ascii="Times New Roman" w:eastAsia="Times New Roman" w:hAnsi="Times New Roman" w:cs="Times New Roman"/>
          <w:kern w:val="0"/>
          <w:sz w:val="24"/>
          <w:szCs w:val="24"/>
          <w:lang w:eastAsia="en-GB"/>
          <w14:ligatures w14:val="none"/>
        </w:rPr>
        <w:t>;</w:t>
      </w:r>
    </w:p>
    <w:p w14:paraId="06C79175" w14:textId="77777777" w:rsidR="006C257A" w:rsidRPr="006C257A" w:rsidRDefault="006C257A" w:rsidP="006C257A">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a response to what he characterised as proposals or circumstances requiring a reconsideration of constitutional safeguards.</w:t>
      </w:r>
    </w:p>
    <w:p w14:paraId="05093820" w14:textId="77777777" w:rsid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w:t>
      </w:r>
      <w:r w:rsidRPr="006C257A">
        <w:rPr>
          <w:rFonts w:ascii="Times New Roman" w:eastAsia="Times New Roman" w:hAnsi="Times New Roman" w:cs="Times New Roman"/>
          <w:kern w:val="0"/>
          <w:sz w:val="24"/>
          <w:szCs w:val="24"/>
          <w:lang w:eastAsia="en-GB"/>
          <w14:ligatures w14:val="none"/>
        </w:rPr>
        <w:t xml:space="preserve"> </w:t>
      </w:r>
    </w:p>
    <w:p w14:paraId="3123DC05" w14:textId="5F7E9B1F" w:rsid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G4Media report: </w:t>
      </w:r>
      <w:hyperlink r:id="rId11" w:history="1">
        <w:r w:rsidRPr="006C257A">
          <w:rPr>
            <w:rStyle w:val="Hyperlink"/>
            <w:rFonts w:ascii="Times New Roman" w:eastAsia="Times New Roman" w:hAnsi="Times New Roman" w:cs="Times New Roman"/>
            <w:kern w:val="0"/>
            <w:sz w:val="24"/>
            <w:szCs w:val="24"/>
            <w:lang w:eastAsia="en-GB"/>
            <w14:ligatures w14:val="none"/>
          </w:rPr>
          <w:t>https://www.g4media.ro/breaking-presedintele-ccr-marian-enache-anularea-alegerilor-a-fost-o-decizie-de-aparare-a-statului-roman-si-a-democratiei-constitutionale-propuneri-ale-candidatilor-care-sa-impuna-reconsiderarea-r.html</w:t>
        </w:r>
      </w:hyperlink>
      <w:r>
        <w:rPr>
          <w:rFonts w:ascii="Times New Roman" w:eastAsia="Times New Roman" w:hAnsi="Times New Roman" w:cs="Times New Roman"/>
          <w:kern w:val="0"/>
          <w:sz w:val="24"/>
          <w:szCs w:val="24"/>
          <w:lang w:eastAsia="en-GB"/>
          <w14:ligatures w14:val="none"/>
        </w:rPr>
        <w:t xml:space="preserve"> </w:t>
      </w:r>
      <w:r w:rsidR="00543A19">
        <w:rPr>
          <w:rFonts w:ascii="Times New Roman" w:eastAsia="Times New Roman" w:hAnsi="Times New Roman" w:cs="Times New Roman"/>
          <w:kern w:val="0"/>
          <w:sz w:val="24"/>
          <w:szCs w:val="24"/>
          <w:lang w:eastAsia="en-GB"/>
          <w14:ligatures w14:val="none"/>
        </w:rPr>
        <w:t>(Accessed on 4 December 2026).</w:t>
      </w:r>
    </w:p>
    <w:p w14:paraId="6C09F318" w14:textId="77777777" w:rsidR="006C257A" w:rsidRPr="006C257A" w:rsidRDefault="006C257A" w:rsidP="006C257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4. Public commentary and interpretation</w:t>
      </w:r>
    </w:p>
    <w:p w14:paraId="54BFE012" w14:textId="77777777" w:rsidR="006C257A" w:rsidRP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Additional commentary published in the press summarised and interpreted the President’s public messages, including:</w:t>
      </w:r>
    </w:p>
    <w:p w14:paraId="6003F239" w14:textId="77777777" w:rsidR="006C257A" w:rsidRPr="006C257A" w:rsidRDefault="006C257A" w:rsidP="006C257A">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lastRenderedPageBreak/>
        <w:t>clarifications addressed to public institutions;</w:t>
      </w:r>
    </w:p>
    <w:p w14:paraId="12704CD3" w14:textId="77777777" w:rsidR="006C257A" w:rsidRPr="006C257A" w:rsidRDefault="006C257A" w:rsidP="006C257A">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warnings regarding constitutional limits;</w:t>
      </w:r>
    </w:p>
    <w:p w14:paraId="79400581" w14:textId="77777777" w:rsidR="006C257A" w:rsidRPr="006C257A" w:rsidRDefault="006C257A" w:rsidP="006C257A">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explanations of the Court’s institutional position in the context of the 2025 presidential elections.</w:t>
      </w:r>
    </w:p>
    <w:p w14:paraId="4E73416F" w14:textId="77777777" w:rsid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w:t>
      </w:r>
      <w:r w:rsidRPr="006C257A">
        <w:rPr>
          <w:rFonts w:ascii="Times New Roman" w:eastAsia="Times New Roman" w:hAnsi="Times New Roman" w:cs="Times New Roman"/>
          <w:kern w:val="0"/>
          <w:sz w:val="24"/>
          <w:szCs w:val="24"/>
          <w:lang w:eastAsia="en-GB"/>
          <w14:ligatures w14:val="none"/>
        </w:rPr>
        <w:t xml:space="preserve"> </w:t>
      </w:r>
    </w:p>
    <w:p w14:paraId="28201150" w14:textId="75DD045F" w:rsid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w:t>
      </w:r>
      <w:proofErr w:type="spellStart"/>
      <w:r w:rsidRPr="006C257A">
        <w:rPr>
          <w:rFonts w:ascii="Times New Roman" w:eastAsia="Times New Roman" w:hAnsi="Times New Roman" w:cs="Times New Roman"/>
          <w:kern w:val="0"/>
          <w:sz w:val="24"/>
          <w:szCs w:val="24"/>
          <w:lang w:eastAsia="en-GB"/>
          <w14:ligatures w14:val="none"/>
        </w:rPr>
        <w:t>Libertatea</w:t>
      </w:r>
      <w:proofErr w:type="spellEnd"/>
      <w:r w:rsidRPr="006C257A">
        <w:rPr>
          <w:rFonts w:ascii="Times New Roman" w:eastAsia="Times New Roman" w:hAnsi="Times New Roman" w:cs="Times New Roman"/>
          <w:kern w:val="0"/>
          <w:sz w:val="24"/>
          <w:szCs w:val="24"/>
          <w:lang w:eastAsia="en-GB"/>
          <w14:ligatures w14:val="none"/>
        </w:rPr>
        <w:t xml:space="preserve"> commentary: </w:t>
      </w:r>
      <w:hyperlink r:id="rId12" w:history="1">
        <w:r w:rsidRPr="006C257A">
          <w:rPr>
            <w:rStyle w:val="Hyperlink"/>
            <w:rFonts w:ascii="Times New Roman" w:eastAsia="Times New Roman" w:hAnsi="Times New Roman" w:cs="Times New Roman"/>
            <w:kern w:val="0"/>
            <w:sz w:val="24"/>
            <w:szCs w:val="24"/>
            <w:lang w:eastAsia="en-GB"/>
            <w14:ligatures w14:val="none"/>
          </w:rPr>
          <w:t>https://www.libertatea.ro/opinii/prezidentiale-2025-mesajele-sefului-ccr-pe-intelesul-tuturor-clarificari-avertismente-la-semnalele-transmise-institutiilor-5202546</w:t>
        </w:r>
      </w:hyperlink>
      <w:r w:rsidR="00543A19">
        <w:rPr>
          <w:rFonts w:ascii="Times New Roman" w:eastAsia="Times New Roman" w:hAnsi="Times New Roman" w:cs="Times New Roman"/>
          <w:kern w:val="0"/>
          <w:sz w:val="24"/>
          <w:szCs w:val="24"/>
          <w:lang w:eastAsia="en-GB"/>
          <w14:ligatures w14:val="none"/>
        </w:rPr>
        <w:t>(Accessed on 4 December 2026).</w:t>
      </w:r>
    </w:p>
    <w:p w14:paraId="091EC46A" w14:textId="77777777" w:rsidR="006C257A" w:rsidRPr="006C257A" w:rsidRDefault="006C257A" w:rsidP="006C257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5. Relevance for the present memorandum</w:t>
      </w:r>
    </w:p>
    <w:p w14:paraId="7C61D2BF" w14:textId="77777777" w:rsidR="006C257A" w:rsidRPr="006C257A" w:rsidRDefault="006C257A" w:rsidP="006C257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These public statements are relevant because they:</w:t>
      </w:r>
    </w:p>
    <w:p w14:paraId="4FDEEB16" w14:textId="77777777" w:rsidR="006C257A" w:rsidRPr="006C257A" w:rsidRDefault="006C257A" w:rsidP="006C257A">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provide insight into the </w:t>
      </w:r>
      <w:r w:rsidRPr="006C257A">
        <w:rPr>
          <w:rFonts w:ascii="Times New Roman" w:eastAsia="Times New Roman" w:hAnsi="Times New Roman" w:cs="Times New Roman"/>
          <w:b/>
          <w:bCs/>
          <w:kern w:val="0"/>
          <w:sz w:val="24"/>
          <w:szCs w:val="24"/>
          <w:lang w:eastAsia="en-GB"/>
          <w14:ligatures w14:val="none"/>
        </w:rPr>
        <w:t>institutional reasoning</w:t>
      </w:r>
      <w:r w:rsidRPr="006C257A">
        <w:rPr>
          <w:rFonts w:ascii="Times New Roman" w:eastAsia="Times New Roman" w:hAnsi="Times New Roman" w:cs="Times New Roman"/>
          <w:kern w:val="0"/>
          <w:sz w:val="24"/>
          <w:szCs w:val="24"/>
          <w:lang w:eastAsia="en-GB"/>
          <w14:ligatures w14:val="none"/>
        </w:rPr>
        <w:t xml:space="preserve"> invoked to justify the annulment of elections;</w:t>
      </w:r>
    </w:p>
    <w:p w14:paraId="35ED9504" w14:textId="77777777" w:rsidR="006C257A" w:rsidRPr="006C257A" w:rsidRDefault="006C257A" w:rsidP="006C257A">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illustrate the </w:t>
      </w:r>
      <w:r w:rsidRPr="006C257A">
        <w:rPr>
          <w:rFonts w:ascii="Times New Roman" w:eastAsia="Times New Roman" w:hAnsi="Times New Roman" w:cs="Times New Roman"/>
          <w:b/>
          <w:bCs/>
          <w:kern w:val="0"/>
          <w:sz w:val="24"/>
          <w:szCs w:val="24"/>
          <w:lang w:eastAsia="en-GB"/>
          <w14:ligatures w14:val="none"/>
        </w:rPr>
        <w:t>public framing</w:t>
      </w:r>
      <w:r w:rsidRPr="006C257A">
        <w:rPr>
          <w:rFonts w:ascii="Times New Roman" w:eastAsia="Times New Roman" w:hAnsi="Times New Roman" w:cs="Times New Roman"/>
          <w:kern w:val="0"/>
          <w:sz w:val="24"/>
          <w:szCs w:val="24"/>
          <w:lang w:eastAsia="en-GB"/>
          <w14:ligatures w14:val="none"/>
        </w:rPr>
        <w:t xml:space="preserve"> of constitutional risks and democratic fragility;</w:t>
      </w:r>
    </w:p>
    <w:p w14:paraId="767A951D" w14:textId="77777777" w:rsidR="006C257A" w:rsidRPr="006C257A" w:rsidRDefault="006C257A" w:rsidP="006C257A">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help contextualise the </w:t>
      </w:r>
      <w:r w:rsidRPr="006C257A">
        <w:rPr>
          <w:rFonts w:ascii="Times New Roman" w:eastAsia="Times New Roman" w:hAnsi="Times New Roman" w:cs="Times New Roman"/>
          <w:b/>
          <w:bCs/>
          <w:kern w:val="0"/>
          <w:sz w:val="24"/>
          <w:szCs w:val="24"/>
          <w:lang w:eastAsia="en-GB"/>
          <w14:ligatures w14:val="none"/>
        </w:rPr>
        <w:t>interaction between constitutional institutions and the electoral process</w:t>
      </w:r>
      <w:r w:rsidRPr="006C257A">
        <w:rPr>
          <w:rFonts w:ascii="Times New Roman" w:eastAsia="Times New Roman" w:hAnsi="Times New Roman" w:cs="Times New Roman"/>
          <w:kern w:val="0"/>
          <w:sz w:val="24"/>
          <w:szCs w:val="24"/>
          <w:lang w:eastAsia="en-GB"/>
          <w14:ligatures w14:val="none"/>
        </w:rPr>
        <w:t>;</w:t>
      </w:r>
    </w:p>
    <w:p w14:paraId="57B7717F" w14:textId="77777777" w:rsidR="006C257A" w:rsidRPr="006C257A" w:rsidRDefault="006C257A" w:rsidP="006C257A">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raise questions regarding the </w:t>
      </w:r>
      <w:r w:rsidRPr="006C257A">
        <w:rPr>
          <w:rFonts w:ascii="Times New Roman" w:eastAsia="Times New Roman" w:hAnsi="Times New Roman" w:cs="Times New Roman"/>
          <w:b/>
          <w:bCs/>
          <w:kern w:val="0"/>
          <w:sz w:val="24"/>
          <w:szCs w:val="24"/>
          <w:lang w:eastAsia="en-GB"/>
          <w14:ligatures w14:val="none"/>
        </w:rPr>
        <w:t>scope of constitutional authority</w:t>
      </w:r>
      <w:r w:rsidRPr="006C257A">
        <w:rPr>
          <w:rFonts w:ascii="Times New Roman" w:eastAsia="Times New Roman" w:hAnsi="Times New Roman" w:cs="Times New Roman"/>
          <w:kern w:val="0"/>
          <w:sz w:val="24"/>
          <w:szCs w:val="24"/>
          <w:lang w:eastAsia="en-GB"/>
          <w14:ligatures w14:val="none"/>
        </w:rPr>
        <w:t xml:space="preserve"> in electoral matters.</w:t>
      </w:r>
    </w:p>
    <w:p w14:paraId="7A34379F"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81144F4"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7960CB3"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7F6CA6C"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BAAE2A9"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76A63B7"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5D2BFA3"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9039F40"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A3AB0E0" w14:textId="77777777" w:rsidR="006F2F3E" w:rsidRDefault="006F2F3E" w:rsidP="000D10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18D91F8" w14:textId="77777777" w:rsidR="00543A19" w:rsidRDefault="00543A19" w:rsidP="000D109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Pr>
          <w:rFonts w:ascii="Times New Roman" w:eastAsia="Times New Roman" w:hAnsi="Times New Roman" w:cs="Times New Roman"/>
          <w:b/>
          <w:bCs/>
          <w:kern w:val="36"/>
          <w:sz w:val="28"/>
          <w:szCs w:val="28"/>
          <w:lang w:eastAsia="en-GB"/>
          <w14:ligatures w14:val="none"/>
        </w:rPr>
        <w:t xml:space="preserve">  </w:t>
      </w:r>
    </w:p>
    <w:p w14:paraId="2D059D6D" w14:textId="0EE21007" w:rsidR="000D109D" w:rsidRPr="00543A19" w:rsidRDefault="000D109D" w:rsidP="000D109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543A19">
        <w:rPr>
          <w:rFonts w:ascii="Times New Roman" w:eastAsia="Times New Roman" w:hAnsi="Times New Roman" w:cs="Times New Roman"/>
          <w:b/>
          <w:bCs/>
          <w:kern w:val="36"/>
          <w:sz w:val="28"/>
          <w:szCs w:val="28"/>
          <w:lang w:eastAsia="en-GB"/>
          <w14:ligatures w14:val="none"/>
        </w:rPr>
        <w:lastRenderedPageBreak/>
        <w:t>Annex 4 – Public Statements of Constitutional Court Judge Iulia Scântei</w:t>
      </w:r>
    </w:p>
    <w:p w14:paraId="4B753B5C" w14:textId="77777777" w:rsidR="000D109D" w:rsidRPr="006F2F3E" w:rsidRDefault="000D109D"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F2F3E">
        <w:rPr>
          <w:rFonts w:ascii="Times New Roman" w:eastAsia="Times New Roman" w:hAnsi="Times New Roman" w:cs="Times New Roman"/>
          <w:b/>
          <w:bCs/>
          <w:kern w:val="0"/>
          <w:sz w:val="24"/>
          <w:szCs w:val="24"/>
          <w:lang w:eastAsia="en-GB"/>
          <w14:ligatures w14:val="none"/>
        </w:rPr>
        <w:t>1. Overview</w:t>
      </w:r>
    </w:p>
    <w:p w14:paraId="6B730D50" w14:textId="77777777" w:rsidR="000D109D" w:rsidRDefault="000D109D" w:rsidP="006F2F3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This annex compiles public statements made by </w:t>
      </w:r>
      <w:r w:rsidRPr="000D109D">
        <w:rPr>
          <w:rFonts w:ascii="Times New Roman" w:eastAsia="Times New Roman" w:hAnsi="Times New Roman" w:cs="Times New Roman"/>
          <w:b/>
          <w:bCs/>
          <w:kern w:val="0"/>
          <w:sz w:val="24"/>
          <w:szCs w:val="24"/>
          <w:lang w:eastAsia="en-GB"/>
          <w14:ligatures w14:val="none"/>
        </w:rPr>
        <w:t>Judge Iulia Scântei</w:t>
      </w:r>
      <w:r w:rsidRPr="000D109D">
        <w:rPr>
          <w:rFonts w:ascii="Times New Roman" w:eastAsia="Times New Roman" w:hAnsi="Times New Roman" w:cs="Times New Roman"/>
          <w:kern w:val="0"/>
          <w:sz w:val="24"/>
          <w:szCs w:val="24"/>
          <w:lang w:eastAsia="en-GB"/>
          <w14:ligatures w14:val="none"/>
        </w:rPr>
        <w:t>, member of the Romanian Constitutional Court (CCR), regarding the annulment of the 2024 presidential elections and the institutional reasoning invoked to justify this measure. These statements are relevant for understanding the public framing of the Court’s intervention in the electoral process.</w:t>
      </w:r>
    </w:p>
    <w:p w14:paraId="0BF02B11" w14:textId="77777777" w:rsidR="000D109D" w:rsidRPr="00543A19" w:rsidRDefault="000D109D"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43A19">
        <w:rPr>
          <w:rFonts w:ascii="Times New Roman" w:eastAsia="Times New Roman" w:hAnsi="Times New Roman" w:cs="Times New Roman"/>
          <w:b/>
          <w:bCs/>
          <w:kern w:val="0"/>
          <w:sz w:val="24"/>
          <w:szCs w:val="24"/>
          <w:lang w:eastAsia="en-GB"/>
          <w14:ligatures w14:val="none"/>
        </w:rPr>
        <w:t>2. Statements explaining the annulment of the 2024 elections</w:t>
      </w:r>
    </w:p>
    <w:p w14:paraId="17B0E5FF" w14:textId="77777777" w:rsidR="000D109D" w:rsidRPr="000D109D" w:rsidRDefault="000D109D" w:rsidP="000D10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In several media appearances, Judge </w:t>
      </w:r>
      <w:proofErr w:type="spellStart"/>
      <w:r w:rsidRPr="000D109D">
        <w:rPr>
          <w:rFonts w:ascii="Times New Roman" w:eastAsia="Times New Roman" w:hAnsi="Times New Roman" w:cs="Times New Roman"/>
          <w:kern w:val="0"/>
          <w:sz w:val="24"/>
          <w:szCs w:val="24"/>
          <w:lang w:eastAsia="en-GB"/>
          <w14:ligatures w14:val="none"/>
        </w:rPr>
        <w:t>Scântei</w:t>
      </w:r>
      <w:proofErr w:type="spellEnd"/>
      <w:r w:rsidRPr="000D109D">
        <w:rPr>
          <w:rFonts w:ascii="Times New Roman" w:eastAsia="Times New Roman" w:hAnsi="Times New Roman" w:cs="Times New Roman"/>
          <w:kern w:val="0"/>
          <w:sz w:val="24"/>
          <w:szCs w:val="24"/>
          <w:lang w:eastAsia="en-GB"/>
          <w14:ligatures w14:val="none"/>
        </w:rPr>
        <w:t xml:space="preserve"> publicly explained the reasons for the annulment of the 2024 presidential elections. Her statements included:</w:t>
      </w:r>
    </w:p>
    <w:p w14:paraId="787431AA" w14:textId="77777777" w:rsidR="000D109D" w:rsidRPr="000D109D" w:rsidRDefault="000D109D" w:rsidP="000D109D">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assertion that the annulment </w:t>
      </w:r>
      <w:r w:rsidRPr="000D109D">
        <w:rPr>
          <w:rFonts w:ascii="Times New Roman" w:eastAsia="Times New Roman" w:hAnsi="Times New Roman" w:cs="Times New Roman"/>
          <w:b/>
          <w:bCs/>
          <w:kern w:val="0"/>
          <w:sz w:val="24"/>
          <w:szCs w:val="24"/>
          <w:lang w:eastAsia="en-GB"/>
          <w14:ligatures w14:val="none"/>
        </w:rPr>
        <w:t>“was not a sanction for the citizens who voted”</w:t>
      </w:r>
      <w:r w:rsidRPr="000D109D">
        <w:rPr>
          <w:rFonts w:ascii="Times New Roman" w:eastAsia="Times New Roman" w:hAnsi="Times New Roman" w:cs="Times New Roman"/>
          <w:kern w:val="0"/>
          <w:sz w:val="24"/>
          <w:szCs w:val="24"/>
          <w:lang w:eastAsia="en-GB"/>
          <w14:ligatures w14:val="none"/>
        </w:rPr>
        <w:t>;</w:t>
      </w:r>
    </w:p>
    <w:p w14:paraId="1CA23248" w14:textId="77777777" w:rsidR="000D109D" w:rsidRPr="000D109D" w:rsidRDefault="000D109D" w:rsidP="000D109D">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claim that the measure was intended to </w:t>
      </w:r>
      <w:r w:rsidRPr="000D109D">
        <w:rPr>
          <w:rFonts w:ascii="Times New Roman" w:eastAsia="Times New Roman" w:hAnsi="Times New Roman" w:cs="Times New Roman"/>
          <w:b/>
          <w:bCs/>
          <w:kern w:val="0"/>
          <w:sz w:val="24"/>
          <w:szCs w:val="24"/>
          <w:lang w:eastAsia="en-GB"/>
          <w14:ligatures w14:val="none"/>
        </w:rPr>
        <w:t>protect constitutional democracy</w:t>
      </w:r>
      <w:r w:rsidRPr="000D109D">
        <w:rPr>
          <w:rFonts w:ascii="Times New Roman" w:eastAsia="Times New Roman" w:hAnsi="Times New Roman" w:cs="Times New Roman"/>
          <w:kern w:val="0"/>
          <w:sz w:val="24"/>
          <w:szCs w:val="24"/>
          <w:lang w:eastAsia="en-GB"/>
          <w14:ligatures w14:val="none"/>
        </w:rPr>
        <w:t>;</w:t>
      </w:r>
    </w:p>
    <w:p w14:paraId="156FC0D0" w14:textId="77777777" w:rsidR="000D109D" w:rsidRPr="000D109D" w:rsidRDefault="000D109D" w:rsidP="000D109D">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argument that the Court acted to address </w:t>
      </w:r>
      <w:r w:rsidRPr="000D109D">
        <w:rPr>
          <w:rFonts w:ascii="Times New Roman" w:eastAsia="Times New Roman" w:hAnsi="Times New Roman" w:cs="Times New Roman"/>
          <w:b/>
          <w:bCs/>
          <w:kern w:val="0"/>
          <w:sz w:val="24"/>
          <w:szCs w:val="24"/>
          <w:lang w:eastAsia="en-GB"/>
          <w14:ligatures w14:val="none"/>
        </w:rPr>
        <w:t>systemic irregularities</w:t>
      </w:r>
      <w:r w:rsidRPr="000D109D">
        <w:rPr>
          <w:rFonts w:ascii="Times New Roman" w:eastAsia="Times New Roman" w:hAnsi="Times New Roman" w:cs="Times New Roman"/>
          <w:kern w:val="0"/>
          <w:sz w:val="24"/>
          <w:szCs w:val="24"/>
          <w:lang w:eastAsia="en-GB"/>
          <w14:ligatures w14:val="none"/>
        </w:rPr>
        <w:t xml:space="preserve"> or risks perceived as affecting the integrity of the electoral process;</w:t>
      </w:r>
    </w:p>
    <w:p w14:paraId="7B449811" w14:textId="77777777" w:rsidR="000D109D" w:rsidRPr="000D109D" w:rsidRDefault="000D109D" w:rsidP="000D109D">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view that the Court’s intervention was necessary to </w:t>
      </w:r>
      <w:r w:rsidRPr="000D109D">
        <w:rPr>
          <w:rFonts w:ascii="Times New Roman" w:eastAsia="Times New Roman" w:hAnsi="Times New Roman" w:cs="Times New Roman"/>
          <w:b/>
          <w:bCs/>
          <w:kern w:val="0"/>
          <w:sz w:val="24"/>
          <w:szCs w:val="24"/>
          <w:lang w:eastAsia="en-GB"/>
          <w14:ligatures w14:val="none"/>
        </w:rPr>
        <w:t>preserve institutional stability</w:t>
      </w:r>
      <w:r w:rsidRPr="000D109D">
        <w:rPr>
          <w:rFonts w:ascii="Times New Roman" w:eastAsia="Times New Roman" w:hAnsi="Times New Roman" w:cs="Times New Roman"/>
          <w:kern w:val="0"/>
          <w:sz w:val="24"/>
          <w:szCs w:val="24"/>
          <w:lang w:eastAsia="en-GB"/>
          <w14:ligatures w14:val="none"/>
        </w:rPr>
        <w:t>.</w:t>
      </w:r>
    </w:p>
    <w:p w14:paraId="6A3ADF62" w14:textId="77777777" w:rsidR="000D109D" w:rsidRDefault="000D109D" w:rsidP="000D109D">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Sources:</w:t>
      </w:r>
    </w:p>
    <w:p w14:paraId="5007BAE5" w14:textId="5EA4C8FD" w:rsidR="000D109D" w:rsidRDefault="000D109D" w:rsidP="000D10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 Digi24 interview: </w:t>
      </w:r>
      <w:hyperlink r:id="rId13" w:history="1">
        <w:r w:rsidRPr="000D109D">
          <w:rPr>
            <w:rStyle w:val="Hyperlink"/>
            <w:rFonts w:ascii="Times New Roman" w:eastAsia="Times New Roman" w:hAnsi="Times New Roman" w:cs="Times New Roman"/>
            <w:kern w:val="0"/>
            <w:sz w:val="24"/>
            <w:szCs w:val="24"/>
            <w:lang w:eastAsia="en-GB"/>
            <w14:ligatures w14:val="none"/>
          </w:rPr>
          <w:t>https://www.digi24.ro/stiri/actualitate/politica/o-judecatoare-ccr-a-explicat-pe-larg-de-ce-au-fost-anulate-alegerile-din-2024-nu-este-o-sanctiune-pentru-cetatenii-care-au-votat-3380275</w:t>
        </w:r>
      </w:hyperlink>
      <w:r w:rsidRPr="000D109D">
        <w:rPr>
          <w:rFonts w:ascii="Times New Roman" w:eastAsia="Times New Roman" w:hAnsi="Times New Roman" w:cs="Times New Roman"/>
          <w:kern w:val="0"/>
          <w:sz w:val="24"/>
          <w:szCs w:val="24"/>
          <w:lang w:eastAsia="en-GB"/>
          <w14:ligatures w14:val="none"/>
        </w:rPr>
        <w:t xml:space="preserve"> </w:t>
      </w:r>
      <w:r w:rsidR="00543A19">
        <w:rPr>
          <w:rFonts w:ascii="Times New Roman" w:eastAsia="Times New Roman" w:hAnsi="Times New Roman" w:cs="Times New Roman"/>
          <w:kern w:val="0"/>
          <w:sz w:val="24"/>
          <w:szCs w:val="24"/>
          <w:lang w:eastAsia="en-GB"/>
          <w14:ligatures w14:val="none"/>
        </w:rPr>
        <w:t>(Accessed on 4 December 2026).</w:t>
      </w:r>
    </w:p>
    <w:p w14:paraId="118AC056" w14:textId="3FFDA2F6" w:rsidR="000D109D" w:rsidRDefault="000D109D" w:rsidP="00543A1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w:t>
      </w:r>
      <w:proofErr w:type="spellStart"/>
      <w:r w:rsidRPr="000D109D">
        <w:rPr>
          <w:rFonts w:ascii="Times New Roman" w:eastAsia="Times New Roman" w:hAnsi="Times New Roman" w:cs="Times New Roman"/>
          <w:kern w:val="0"/>
          <w:sz w:val="24"/>
          <w:szCs w:val="24"/>
          <w:lang w:eastAsia="en-GB"/>
          <w14:ligatures w14:val="none"/>
        </w:rPr>
        <w:t>Știri</w:t>
      </w:r>
      <w:proofErr w:type="spellEnd"/>
      <w:r w:rsidRPr="000D109D">
        <w:rPr>
          <w:rFonts w:ascii="Times New Roman" w:eastAsia="Times New Roman" w:hAnsi="Times New Roman" w:cs="Times New Roman"/>
          <w:kern w:val="0"/>
          <w:sz w:val="24"/>
          <w:szCs w:val="24"/>
          <w:lang w:eastAsia="en-GB"/>
          <w14:ligatures w14:val="none"/>
        </w:rPr>
        <w:t xml:space="preserve"> pe </w:t>
      </w:r>
      <w:proofErr w:type="spellStart"/>
      <w:r w:rsidRPr="000D109D">
        <w:rPr>
          <w:rFonts w:ascii="Times New Roman" w:eastAsia="Times New Roman" w:hAnsi="Times New Roman" w:cs="Times New Roman"/>
          <w:kern w:val="0"/>
          <w:sz w:val="24"/>
          <w:szCs w:val="24"/>
          <w:lang w:eastAsia="en-GB"/>
          <w14:ligatures w14:val="none"/>
        </w:rPr>
        <w:t>Surse</w:t>
      </w:r>
      <w:proofErr w:type="spellEnd"/>
      <w:r w:rsidRPr="000D109D">
        <w:rPr>
          <w:rFonts w:ascii="Times New Roman" w:eastAsia="Times New Roman" w:hAnsi="Times New Roman" w:cs="Times New Roman"/>
          <w:kern w:val="0"/>
          <w:sz w:val="24"/>
          <w:szCs w:val="24"/>
          <w:lang w:eastAsia="en-GB"/>
          <w14:ligatures w14:val="none"/>
        </w:rPr>
        <w:t xml:space="preserve"> video statement: </w:t>
      </w:r>
      <w:hyperlink r:id="rId14" w:history="1">
        <w:r w:rsidRPr="000D109D">
          <w:rPr>
            <w:rStyle w:val="Hyperlink"/>
            <w:rFonts w:ascii="Times New Roman" w:eastAsia="Times New Roman" w:hAnsi="Times New Roman" w:cs="Times New Roman"/>
            <w:kern w:val="0"/>
            <w:sz w:val="24"/>
            <w:szCs w:val="24"/>
            <w:lang w:eastAsia="en-GB"/>
            <w14:ligatures w14:val="none"/>
          </w:rPr>
          <w:t>https://www.stiripesurse.ro/video-cum-a-justificat-judecatoarea-scantei-decizia-ccr-privind-anularea-alegerilor-prezidentiale_3795260.html</w:t>
        </w:r>
      </w:hyperlink>
      <w:r w:rsidR="00543A19">
        <w:rPr>
          <w:rFonts w:ascii="Times New Roman" w:eastAsia="Times New Roman" w:hAnsi="Times New Roman" w:cs="Times New Roman"/>
          <w:kern w:val="0"/>
          <w:sz w:val="24"/>
          <w:szCs w:val="24"/>
          <w:lang w:eastAsia="en-GB"/>
          <w14:ligatures w14:val="none"/>
        </w:rPr>
        <w:t>(Accessed on 4 December 2026).</w:t>
      </w:r>
    </w:p>
    <w:p w14:paraId="6BF36629" w14:textId="77777777" w:rsidR="000D109D" w:rsidRPr="000D109D" w:rsidRDefault="000D109D"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3. Statements regarding the impact on voters</w:t>
      </w:r>
    </w:p>
    <w:p w14:paraId="73A316D9" w14:textId="77777777" w:rsidR="000D109D" w:rsidRPr="000D109D" w:rsidRDefault="000D109D" w:rsidP="000D10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Judge </w:t>
      </w:r>
      <w:proofErr w:type="spellStart"/>
      <w:r w:rsidRPr="000D109D">
        <w:rPr>
          <w:rFonts w:ascii="Times New Roman" w:eastAsia="Times New Roman" w:hAnsi="Times New Roman" w:cs="Times New Roman"/>
          <w:kern w:val="0"/>
          <w:sz w:val="24"/>
          <w:szCs w:val="24"/>
          <w:lang w:eastAsia="en-GB"/>
          <w14:ligatures w14:val="none"/>
        </w:rPr>
        <w:t>Scântei</w:t>
      </w:r>
      <w:proofErr w:type="spellEnd"/>
      <w:r w:rsidRPr="000D109D">
        <w:rPr>
          <w:rFonts w:ascii="Times New Roman" w:eastAsia="Times New Roman" w:hAnsi="Times New Roman" w:cs="Times New Roman"/>
          <w:kern w:val="0"/>
          <w:sz w:val="24"/>
          <w:szCs w:val="24"/>
          <w:lang w:eastAsia="en-GB"/>
          <w14:ligatures w14:val="none"/>
        </w:rPr>
        <w:t xml:space="preserve"> also publicly expressed regret that the Court did not find an opportunity to </w:t>
      </w:r>
      <w:r w:rsidRPr="000D109D">
        <w:rPr>
          <w:rFonts w:ascii="Times New Roman" w:eastAsia="Times New Roman" w:hAnsi="Times New Roman" w:cs="Times New Roman"/>
          <w:b/>
          <w:bCs/>
          <w:kern w:val="0"/>
          <w:sz w:val="24"/>
          <w:szCs w:val="24"/>
          <w:lang w:eastAsia="en-GB"/>
          <w14:ligatures w14:val="none"/>
        </w:rPr>
        <w:t>apologise to voters</w:t>
      </w:r>
      <w:r w:rsidRPr="000D109D">
        <w:rPr>
          <w:rFonts w:ascii="Times New Roman" w:eastAsia="Times New Roman" w:hAnsi="Times New Roman" w:cs="Times New Roman"/>
          <w:kern w:val="0"/>
          <w:sz w:val="24"/>
          <w:szCs w:val="24"/>
          <w:lang w:eastAsia="en-GB"/>
          <w14:ligatures w14:val="none"/>
        </w:rPr>
        <w:t>, emphasising that:</w:t>
      </w:r>
    </w:p>
    <w:p w14:paraId="52B068A9" w14:textId="77777777" w:rsidR="000D109D" w:rsidRPr="000D109D" w:rsidRDefault="000D109D" w:rsidP="000D109D">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 annulment did not invalidate the will of the electorate;</w:t>
      </w:r>
    </w:p>
    <w:p w14:paraId="54ABEF8A" w14:textId="77777777" w:rsidR="000D109D" w:rsidRPr="000D109D" w:rsidRDefault="000D109D" w:rsidP="000D109D">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 decision was not directed against voters but against procedural deficiencies;</w:t>
      </w:r>
    </w:p>
    <w:p w14:paraId="63115A4C" w14:textId="77777777" w:rsidR="000D109D" w:rsidRPr="000D109D" w:rsidRDefault="000D109D" w:rsidP="000D109D">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Court sought to clarify that </w:t>
      </w:r>
      <w:r w:rsidRPr="000D109D">
        <w:rPr>
          <w:rFonts w:ascii="Times New Roman" w:eastAsia="Times New Roman" w:hAnsi="Times New Roman" w:cs="Times New Roman"/>
          <w:b/>
          <w:bCs/>
          <w:kern w:val="0"/>
          <w:sz w:val="24"/>
          <w:szCs w:val="24"/>
          <w:lang w:eastAsia="en-GB"/>
          <w14:ligatures w14:val="none"/>
        </w:rPr>
        <w:t>“it was not the people’s vote that was annulled”</w:t>
      </w:r>
      <w:r w:rsidRPr="000D109D">
        <w:rPr>
          <w:rFonts w:ascii="Times New Roman" w:eastAsia="Times New Roman" w:hAnsi="Times New Roman" w:cs="Times New Roman"/>
          <w:kern w:val="0"/>
          <w:sz w:val="24"/>
          <w:szCs w:val="24"/>
          <w:lang w:eastAsia="en-GB"/>
          <w14:ligatures w14:val="none"/>
        </w:rPr>
        <w:t>.</w:t>
      </w:r>
    </w:p>
    <w:p w14:paraId="4CC9B6F3" w14:textId="77777777" w:rsidR="000D109D" w:rsidRDefault="000D109D" w:rsidP="000D109D">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Source:</w:t>
      </w:r>
    </w:p>
    <w:p w14:paraId="2BC1F54B" w14:textId="1150546B" w:rsidR="000D109D" w:rsidRDefault="000D109D" w:rsidP="000D10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 </w:t>
      </w:r>
      <w:proofErr w:type="spellStart"/>
      <w:r w:rsidRPr="000D109D">
        <w:rPr>
          <w:rFonts w:ascii="Times New Roman" w:eastAsia="Times New Roman" w:hAnsi="Times New Roman" w:cs="Times New Roman"/>
          <w:kern w:val="0"/>
          <w:sz w:val="24"/>
          <w:szCs w:val="24"/>
          <w:lang w:eastAsia="en-GB"/>
          <w14:ligatures w14:val="none"/>
        </w:rPr>
        <w:t>HotNews</w:t>
      </w:r>
      <w:proofErr w:type="spellEnd"/>
      <w:r w:rsidRPr="000D109D">
        <w:rPr>
          <w:rFonts w:ascii="Times New Roman" w:eastAsia="Times New Roman" w:hAnsi="Times New Roman" w:cs="Times New Roman"/>
          <w:kern w:val="0"/>
          <w:sz w:val="24"/>
          <w:szCs w:val="24"/>
          <w:lang w:eastAsia="en-GB"/>
          <w14:ligatures w14:val="none"/>
        </w:rPr>
        <w:t xml:space="preserve"> report: </w:t>
      </w:r>
      <w:hyperlink r:id="rId15" w:history="1">
        <w:r w:rsidRPr="000D109D">
          <w:rPr>
            <w:rStyle w:val="Hyperlink"/>
            <w:rFonts w:ascii="Times New Roman" w:eastAsia="Times New Roman" w:hAnsi="Times New Roman" w:cs="Times New Roman"/>
            <w:kern w:val="0"/>
            <w:sz w:val="24"/>
            <w:szCs w:val="24"/>
            <w:lang w:eastAsia="en-GB"/>
            <w14:ligatures w14:val="none"/>
          </w:rPr>
          <w:t>https://hotnews.ro/judecatoarea-ccr-iuliana-scantei-a-explicat-anularea-alegerilor-prezidentiale-imi-pare-rau-ca-ccr-nu-a-gasit-prilejul-de-a-cere-scuze-alegatorilor-ea-a-spus-ca-nu-votul-oamenilor-a-2048379</w:t>
        </w:r>
      </w:hyperlink>
      <w:r w:rsidR="00543A19">
        <w:t xml:space="preserve"> </w:t>
      </w:r>
      <w:r w:rsidR="00543A19">
        <w:rPr>
          <w:rFonts w:ascii="Times New Roman" w:eastAsia="Times New Roman" w:hAnsi="Times New Roman" w:cs="Times New Roman"/>
          <w:kern w:val="0"/>
          <w:sz w:val="24"/>
          <w:szCs w:val="24"/>
          <w:lang w:eastAsia="en-GB"/>
          <w14:ligatures w14:val="none"/>
        </w:rPr>
        <w:t>(Accessed on 4 December 2026).</w:t>
      </w:r>
    </w:p>
    <w:p w14:paraId="7BEFC446" w14:textId="77777777" w:rsidR="00320373" w:rsidRDefault="00320373"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4ABC25AD" w14:textId="77777777" w:rsidR="00543A19" w:rsidRDefault="00543A19"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1E237D74" w14:textId="51C341B2" w:rsidR="000D109D" w:rsidRPr="000D109D" w:rsidRDefault="000D109D" w:rsidP="000D109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lastRenderedPageBreak/>
        <w:t>4. Relevance for the present memorandum</w:t>
      </w:r>
    </w:p>
    <w:p w14:paraId="529090F9" w14:textId="77777777" w:rsidR="000D109D" w:rsidRPr="000D109D" w:rsidRDefault="000D109D" w:rsidP="000D10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These public statements are relevant because they:</w:t>
      </w:r>
    </w:p>
    <w:p w14:paraId="0F169337" w14:textId="77777777" w:rsidR="000D109D" w:rsidRPr="000D109D" w:rsidRDefault="000D109D" w:rsidP="000D109D">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provide insight into the </w:t>
      </w:r>
      <w:r w:rsidRPr="000D109D">
        <w:rPr>
          <w:rFonts w:ascii="Times New Roman" w:eastAsia="Times New Roman" w:hAnsi="Times New Roman" w:cs="Times New Roman"/>
          <w:b/>
          <w:bCs/>
          <w:kern w:val="0"/>
          <w:sz w:val="24"/>
          <w:szCs w:val="24"/>
          <w:lang w:eastAsia="en-GB"/>
          <w14:ligatures w14:val="none"/>
        </w:rPr>
        <w:t>public justification</w:t>
      </w:r>
      <w:r w:rsidRPr="000D109D">
        <w:rPr>
          <w:rFonts w:ascii="Times New Roman" w:eastAsia="Times New Roman" w:hAnsi="Times New Roman" w:cs="Times New Roman"/>
          <w:kern w:val="0"/>
          <w:sz w:val="24"/>
          <w:szCs w:val="24"/>
          <w:lang w:eastAsia="en-GB"/>
          <w14:ligatures w14:val="none"/>
        </w:rPr>
        <w:t xml:space="preserve"> of the annulment of elections;</w:t>
      </w:r>
    </w:p>
    <w:p w14:paraId="701A4C3E" w14:textId="77777777" w:rsidR="000D109D" w:rsidRPr="000D109D" w:rsidRDefault="000D109D" w:rsidP="000D109D">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illustrate the </w:t>
      </w:r>
      <w:r w:rsidRPr="000D109D">
        <w:rPr>
          <w:rFonts w:ascii="Times New Roman" w:eastAsia="Times New Roman" w:hAnsi="Times New Roman" w:cs="Times New Roman"/>
          <w:b/>
          <w:bCs/>
          <w:kern w:val="0"/>
          <w:sz w:val="24"/>
          <w:szCs w:val="24"/>
          <w:lang w:eastAsia="en-GB"/>
          <w14:ligatures w14:val="none"/>
        </w:rPr>
        <w:t>institutional narrative</w:t>
      </w:r>
      <w:r w:rsidRPr="000D109D">
        <w:rPr>
          <w:rFonts w:ascii="Times New Roman" w:eastAsia="Times New Roman" w:hAnsi="Times New Roman" w:cs="Times New Roman"/>
          <w:kern w:val="0"/>
          <w:sz w:val="24"/>
          <w:szCs w:val="24"/>
          <w:lang w:eastAsia="en-GB"/>
          <w14:ligatures w14:val="none"/>
        </w:rPr>
        <w:t xml:space="preserve"> advanced by a member of the Court;</w:t>
      </w:r>
    </w:p>
    <w:p w14:paraId="3BEBC742" w14:textId="77777777" w:rsidR="000D109D" w:rsidRPr="000D109D" w:rsidRDefault="000D109D" w:rsidP="000D109D">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highlight the absence of a </w:t>
      </w:r>
      <w:r w:rsidRPr="000D109D">
        <w:rPr>
          <w:rFonts w:ascii="Times New Roman" w:eastAsia="Times New Roman" w:hAnsi="Times New Roman" w:cs="Times New Roman"/>
          <w:b/>
          <w:bCs/>
          <w:kern w:val="0"/>
          <w:sz w:val="24"/>
          <w:szCs w:val="24"/>
          <w:lang w:eastAsia="en-GB"/>
          <w14:ligatures w14:val="none"/>
        </w:rPr>
        <w:t>formal, evidence</w:t>
      </w:r>
      <w:r w:rsidRPr="000D109D">
        <w:rPr>
          <w:rFonts w:ascii="Times New Roman" w:eastAsia="Times New Roman" w:hAnsi="Times New Roman" w:cs="Times New Roman"/>
          <w:b/>
          <w:bCs/>
          <w:kern w:val="0"/>
          <w:sz w:val="24"/>
          <w:szCs w:val="24"/>
          <w:lang w:eastAsia="en-GB"/>
          <w14:ligatures w14:val="none"/>
        </w:rPr>
        <w:noBreakHyphen/>
        <w:t>based judicial reasoning</w:t>
      </w:r>
      <w:r w:rsidRPr="000D109D">
        <w:rPr>
          <w:rFonts w:ascii="Times New Roman" w:eastAsia="Times New Roman" w:hAnsi="Times New Roman" w:cs="Times New Roman"/>
          <w:kern w:val="0"/>
          <w:sz w:val="24"/>
          <w:szCs w:val="24"/>
          <w:lang w:eastAsia="en-GB"/>
          <w14:ligatures w14:val="none"/>
        </w:rPr>
        <w:t xml:space="preserve"> accompanying the decision;</w:t>
      </w:r>
    </w:p>
    <w:p w14:paraId="5F47F5A2" w14:textId="77777777" w:rsidR="000D109D" w:rsidRDefault="000D109D" w:rsidP="000D109D">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contribute to concerns regarding </w:t>
      </w:r>
      <w:r w:rsidRPr="000D109D">
        <w:rPr>
          <w:rFonts w:ascii="Times New Roman" w:eastAsia="Times New Roman" w:hAnsi="Times New Roman" w:cs="Times New Roman"/>
          <w:b/>
          <w:bCs/>
          <w:kern w:val="0"/>
          <w:sz w:val="24"/>
          <w:szCs w:val="24"/>
          <w:lang w:eastAsia="en-GB"/>
          <w14:ligatures w14:val="none"/>
        </w:rPr>
        <w:t>public communication by constitutional judges</w:t>
      </w:r>
      <w:r w:rsidRPr="000D109D">
        <w:rPr>
          <w:rFonts w:ascii="Times New Roman" w:eastAsia="Times New Roman" w:hAnsi="Times New Roman" w:cs="Times New Roman"/>
          <w:kern w:val="0"/>
          <w:sz w:val="24"/>
          <w:szCs w:val="24"/>
          <w:lang w:eastAsia="en-GB"/>
          <w14:ligatures w14:val="none"/>
        </w:rPr>
        <w:t xml:space="preserve"> in matters that require judicial restraint and impartiality.</w:t>
      </w:r>
    </w:p>
    <w:p w14:paraId="4755B95B" w14:textId="77777777"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D83ED5B"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B4DE1A4"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15A5CBE"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976A533"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00ABA5D"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1D97B56"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7FAD902"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F12E2B8"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E2F91E0"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E765072"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C1A1EB4"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A6A13E4" w14:textId="77777777" w:rsidR="00320373" w:rsidRDefault="00320373" w:rsidP="00525F39">
      <w:pPr>
        <w:spacing w:before="100" w:beforeAutospacing="1" w:after="100" w:afterAutospacing="1" w:line="240" w:lineRule="auto"/>
        <w:outlineLvl w:val="0"/>
        <w:rPr>
          <w:rFonts w:ascii="Times New Roman" w:eastAsia="Times New Roman" w:hAnsi="Times New Roman" w:cs="Times New Roman"/>
          <w:b/>
          <w:bCs/>
          <w:kern w:val="36"/>
          <w:sz w:val="32"/>
          <w:szCs w:val="32"/>
          <w:lang w:eastAsia="en-GB"/>
          <w14:ligatures w14:val="none"/>
        </w:rPr>
      </w:pPr>
    </w:p>
    <w:p w14:paraId="079645A2" w14:textId="54592194" w:rsidR="00525F39" w:rsidRPr="00543A19" w:rsidRDefault="00525F39" w:rsidP="00525F39">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543A19">
        <w:rPr>
          <w:rFonts w:ascii="Times New Roman" w:eastAsia="Times New Roman" w:hAnsi="Times New Roman" w:cs="Times New Roman"/>
          <w:b/>
          <w:bCs/>
          <w:kern w:val="36"/>
          <w:sz w:val="28"/>
          <w:szCs w:val="28"/>
          <w:lang w:eastAsia="en-GB"/>
          <w14:ligatures w14:val="none"/>
        </w:rPr>
        <w:lastRenderedPageBreak/>
        <w:t>Annex 5 – Public Presentation Abroad of Materials from the Criminal File of a Former Candidate</w:t>
      </w:r>
    </w:p>
    <w:p w14:paraId="2AFA100D" w14:textId="77777777" w:rsidR="00525F39" w:rsidRPr="00525F39" w:rsidRDefault="00525F39" w:rsidP="00525F3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1. Overview</w:t>
      </w:r>
    </w:p>
    <w:p w14:paraId="56467F0A" w14:textId="77777777" w:rsidR="00525F39" w:rsidRPr="00525F39" w:rsidRDefault="00525F39" w:rsidP="0032037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Media reports indicate that the newly elected President publicly referred to, and displayed, materials originating from the </w:t>
      </w:r>
      <w:r w:rsidRPr="00525F39">
        <w:rPr>
          <w:rFonts w:ascii="Times New Roman" w:eastAsia="Times New Roman" w:hAnsi="Times New Roman" w:cs="Times New Roman"/>
          <w:b/>
          <w:bCs/>
          <w:kern w:val="0"/>
          <w:sz w:val="24"/>
          <w:szCs w:val="24"/>
          <w:lang w:eastAsia="en-GB"/>
          <w14:ligatures w14:val="none"/>
        </w:rPr>
        <w:t>criminal file of a former presidential candidate</w:t>
      </w:r>
      <w:r w:rsidRPr="00525F39">
        <w:rPr>
          <w:rFonts w:ascii="Times New Roman" w:eastAsia="Times New Roman" w:hAnsi="Times New Roman" w:cs="Times New Roman"/>
          <w:kern w:val="0"/>
          <w:sz w:val="24"/>
          <w:szCs w:val="24"/>
          <w:lang w:eastAsia="en-GB"/>
          <w14:ligatures w14:val="none"/>
        </w:rPr>
        <w:t xml:space="preserve"> during international engagements with foreign leaders and institutions. These materials were presented as part of explanations regarding the annulment of the 2024 presidential elections.</w:t>
      </w:r>
    </w:p>
    <w:p w14:paraId="2C04E8C6" w14:textId="77777777" w:rsidR="00525F39" w:rsidRPr="00525F39" w:rsidRDefault="00525F39" w:rsidP="00525F3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2. Nature of the materials presented</w:t>
      </w:r>
    </w:p>
    <w:p w14:paraId="5362B4A6" w14:textId="77777777" w:rsidR="00525F39" w:rsidRP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According to press coverage, the documents shown abroad included:</w:t>
      </w:r>
    </w:p>
    <w:p w14:paraId="0CB9239E" w14:textId="77777777" w:rsidR="00525F39" w:rsidRPr="00525F39" w:rsidRDefault="00525F39" w:rsidP="00525F39">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extracts or summaries from a criminal investigation file;</w:t>
      </w:r>
    </w:p>
    <w:p w14:paraId="359819AC" w14:textId="77777777" w:rsidR="00525F39" w:rsidRPr="00525F39" w:rsidRDefault="00525F39" w:rsidP="00525F39">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information allegedly supporting claims of foreign interference in the 2024 elections;</w:t>
      </w:r>
    </w:p>
    <w:p w14:paraId="271DBAF2" w14:textId="77777777" w:rsidR="00525F39" w:rsidRPr="00525F39" w:rsidRDefault="00525F39" w:rsidP="00525F39">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materials used to justify the annulment of the electoral process.</w:t>
      </w:r>
    </w:p>
    <w:p w14:paraId="3A999920" w14:textId="77777777" w:rsidR="00525F39" w:rsidRP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The individual concerned had already been </w:t>
      </w:r>
      <w:r w:rsidRPr="00525F39">
        <w:rPr>
          <w:rFonts w:ascii="Times New Roman" w:eastAsia="Times New Roman" w:hAnsi="Times New Roman" w:cs="Times New Roman"/>
          <w:b/>
          <w:bCs/>
          <w:kern w:val="0"/>
          <w:sz w:val="24"/>
          <w:szCs w:val="24"/>
          <w:lang w:eastAsia="en-GB"/>
          <w14:ligatures w14:val="none"/>
        </w:rPr>
        <w:t>removed from the electoral race</w:t>
      </w:r>
      <w:r w:rsidRPr="00525F39">
        <w:rPr>
          <w:rFonts w:ascii="Times New Roman" w:eastAsia="Times New Roman" w:hAnsi="Times New Roman" w:cs="Times New Roman"/>
          <w:kern w:val="0"/>
          <w:sz w:val="24"/>
          <w:szCs w:val="24"/>
          <w:lang w:eastAsia="en-GB"/>
          <w14:ligatures w14:val="none"/>
        </w:rPr>
        <w:t xml:space="preserve">, and the criminal investigation was </w:t>
      </w:r>
      <w:r w:rsidRPr="00525F39">
        <w:rPr>
          <w:rFonts w:ascii="Times New Roman" w:eastAsia="Times New Roman" w:hAnsi="Times New Roman" w:cs="Times New Roman"/>
          <w:b/>
          <w:bCs/>
          <w:kern w:val="0"/>
          <w:sz w:val="24"/>
          <w:szCs w:val="24"/>
          <w:lang w:eastAsia="en-GB"/>
          <w14:ligatures w14:val="none"/>
        </w:rPr>
        <w:t>not finalised</w:t>
      </w:r>
      <w:r w:rsidRPr="00525F39">
        <w:rPr>
          <w:rFonts w:ascii="Times New Roman" w:eastAsia="Times New Roman" w:hAnsi="Times New Roman" w:cs="Times New Roman"/>
          <w:kern w:val="0"/>
          <w:sz w:val="24"/>
          <w:szCs w:val="24"/>
          <w:lang w:eastAsia="en-GB"/>
          <w14:ligatures w14:val="none"/>
        </w:rPr>
        <w:t xml:space="preserve"> at the time of the public disclosures.</w:t>
      </w:r>
    </w:p>
    <w:p w14:paraId="0EB13E99" w14:textId="77777777" w:rsidR="00525F39" w:rsidRPr="00525F39" w:rsidRDefault="00525F39" w:rsidP="00525F3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3. Issues raised</w:t>
      </w:r>
    </w:p>
    <w:p w14:paraId="40BB2BDA" w14:textId="77777777" w:rsidR="00525F39" w:rsidRP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The public use of such materials in an international context raises several concerns relevant to electoral standards and the rule of law:</w:t>
      </w:r>
    </w:p>
    <w:p w14:paraId="678E33D8" w14:textId="77777777" w:rsidR="00525F39" w:rsidRPr="00525F39" w:rsidRDefault="00525F39" w:rsidP="00525F3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Neutrality</w:t>
      </w:r>
      <w:r w:rsidRPr="00525F39">
        <w:rPr>
          <w:rFonts w:ascii="Times New Roman" w:eastAsia="Times New Roman" w:hAnsi="Times New Roman" w:cs="Times New Roman"/>
          <w:kern w:val="0"/>
          <w:sz w:val="24"/>
          <w:szCs w:val="24"/>
          <w:lang w:eastAsia="en-GB"/>
          <w14:ligatures w14:val="none"/>
        </w:rPr>
        <w:t xml:space="preserve"> – the use of prosecutorial materials by an elected official in a political context may affect perceptions of impartiality.</w:t>
      </w:r>
    </w:p>
    <w:p w14:paraId="5567C3A7" w14:textId="77777777" w:rsidR="00525F39" w:rsidRPr="00525F39" w:rsidRDefault="00525F39" w:rsidP="00525F3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Confidentiality</w:t>
      </w:r>
      <w:r w:rsidRPr="00525F39">
        <w:rPr>
          <w:rFonts w:ascii="Times New Roman" w:eastAsia="Times New Roman" w:hAnsi="Times New Roman" w:cs="Times New Roman"/>
          <w:kern w:val="0"/>
          <w:sz w:val="24"/>
          <w:szCs w:val="24"/>
          <w:lang w:eastAsia="en-GB"/>
          <w14:ligatures w14:val="none"/>
        </w:rPr>
        <w:t xml:space="preserve"> – criminal files are subject to procedural safeguards, and their disclosure outside judicial channels may undermine due</w:t>
      </w:r>
      <w:r w:rsidRPr="00525F39">
        <w:rPr>
          <w:rFonts w:ascii="Times New Roman" w:eastAsia="Times New Roman" w:hAnsi="Times New Roman" w:cs="Times New Roman"/>
          <w:kern w:val="0"/>
          <w:sz w:val="24"/>
          <w:szCs w:val="24"/>
          <w:lang w:eastAsia="en-GB"/>
          <w14:ligatures w14:val="none"/>
        </w:rPr>
        <w:noBreakHyphen/>
        <w:t>process guarantees.</w:t>
      </w:r>
    </w:p>
    <w:p w14:paraId="08C9C3E0" w14:textId="77777777" w:rsidR="00525F39" w:rsidRPr="00525F39" w:rsidRDefault="00525F39" w:rsidP="00525F3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Equality of arms</w:t>
      </w:r>
      <w:r w:rsidRPr="00525F39">
        <w:rPr>
          <w:rFonts w:ascii="Times New Roman" w:eastAsia="Times New Roman" w:hAnsi="Times New Roman" w:cs="Times New Roman"/>
          <w:kern w:val="0"/>
          <w:sz w:val="24"/>
          <w:szCs w:val="24"/>
          <w:lang w:eastAsia="en-GB"/>
          <w14:ligatures w14:val="none"/>
        </w:rPr>
        <w:t xml:space="preserve"> – presenting investigative materials abroad, especially after a candidate has been excluded from the race, may create an imbalance incompatible with fair electoral competition.</w:t>
      </w:r>
    </w:p>
    <w:p w14:paraId="3F6C128F" w14:textId="77777777" w:rsidR="00525F39" w:rsidRPr="00525F39" w:rsidRDefault="00525F39" w:rsidP="00525F3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Presumption of innocence</w:t>
      </w:r>
      <w:r w:rsidRPr="00525F39">
        <w:rPr>
          <w:rFonts w:ascii="Times New Roman" w:eastAsia="Times New Roman" w:hAnsi="Times New Roman" w:cs="Times New Roman"/>
          <w:kern w:val="0"/>
          <w:sz w:val="24"/>
          <w:szCs w:val="24"/>
          <w:lang w:eastAsia="en-GB"/>
          <w14:ligatures w14:val="none"/>
        </w:rPr>
        <w:t xml:space="preserve"> – public dissemination of non</w:t>
      </w:r>
      <w:r w:rsidRPr="00525F39">
        <w:rPr>
          <w:rFonts w:ascii="Times New Roman" w:eastAsia="Times New Roman" w:hAnsi="Times New Roman" w:cs="Times New Roman"/>
          <w:kern w:val="0"/>
          <w:sz w:val="24"/>
          <w:szCs w:val="24"/>
          <w:lang w:eastAsia="en-GB"/>
          <w14:ligatures w14:val="none"/>
        </w:rPr>
        <w:noBreakHyphen/>
        <w:t>final criminal allegations risks prejudicing the rights of the individual concerned.</w:t>
      </w:r>
    </w:p>
    <w:p w14:paraId="731B5B3F" w14:textId="77777777" w:rsidR="00525F39" w:rsidRPr="003108BB" w:rsidRDefault="00525F39" w:rsidP="00525F39">
      <w:pPr>
        <w:spacing w:before="100" w:beforeAutospacing="1" w:after="100" w:afterAutospacing="1" w:line="240" w:lineRule="auto"/>
        <w:ind w:left="360"/>
        <w:outlineLvl w:val="2"/>
        <w:rPr>
          <w:rFonts w:ascii="Times New Roman" w:eastAsia="Times New Roman" w:hAnsi="Times New Roman" w:cs="Times New Roman"/>
          <w:b/>
          <w:bCs/>
          <w:kern w:val="0"/>
          <w:sz w:val="24"/>
          <w:szCs w:val="24"/>
          <w:lang w:eastAsia="en-GB"/>
          <w14:ligatures w14:val="none"/>
        </w:rPr>
      </w:pPr>
      <w:r w:rsidRPr="003108BB">
        <w:rPr>
          <w:rFonts w:ascii="Times New Roman" w:eastAsia="Times New Roman" w:hAnsi="Times New Roman" w:cs="Times New Roman"/>
          <w:b/>
          <w:bCs/>
          <w:kern w:val="0"/>
          <w:sz w:val="24"/>
          <w:szCs w:val="24"/>
          <w:lang w:eastAsia="en-GB"/>
          <w14:ligatures w14:val="none"/>
        </w:rPr>
        <w:t>4. Sources</w:t>
      </w:r>
    </w:p>
    <w:p w14:paraId="2625E3CE" w14:textId="5F25D059"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Ziare.com: </w:t>
      </w:r>
      <w:hyperlink r:id="rId16" w:history="1">
        <w:r w:rsidRPr="00DE60E1">
          <w:rPr>
            <w:rStyle w:val="Hyperlink"/>
            <w:rFonts w:ascii="Times New Roman" w:eastAsia="Times New Roman" w:hAnsi="Times New Roman" w:cs="Times New Roman"/>
            <w:kern w:val="0"/>
            <w:sz w:val="24"/>
            <w:szCs w:val="24"/>
            <w:lang w:eastAsia="en-GB"/>
            <w14:ligatures w14:val="none"/>
          </w:rPr>
          <w:t>https://ziare.com/nicusor-dan/dezvaluiri-parchet-dovada-consistenta-influentare-alegeri-prezidentiale-1964607</w:t>
        </w:r>
      </w:hyperlink>
      <w:r w:rsidR="00543A19">
        <w:rPr>
          <w:rFonts w:ascii="Times New Roman" w:eastAsia="Times New Roman" w:hAnsi="Times New Roman" w:cs="Times New Roman"/>
          <w:kern w:val="0"/>
          <w:sz w:val="24"/>
          <w:szCs w:val="24"/>
          <w:lang w:eastAsia="en-GB"/>
          <w14:ligatures w14:val="none"/>
        </w:rPr>
        <w:t>(Accessed on 4 December 2026).</w:t>
      </w:r>
    </w:p>
    <w:p w14:paraId="76B5860C" w14:textId="4CFC7581"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Gândul: </w:t>
      </w:r>
      <w:hyperlink r:id="rId17" w:history="1">
        <w:r w:rsidRPr="00DE60E1">
          <w:rPr>
            <w:rStyle w:val="Hyperlink"/>
            <w:rFonts w:ascii="Times New Roman" w:eastAsia="Times New Roman" w:hAnsi="Times New Roman" w:cs="Times New Roman"/>
            <w:kern w:val="0"/>
            <w:sz w:val="24"/>
            <w:szCs w:val="24"/>
            <w:lang w:eastAsia="en-GB"/>
            <w14:ligatures w14:val="none"/>
          </w:rPr>
          <w:t>https://www.gandul.ro/actualitate/documentul-prezentat-de-nicusor-dan-liderilor-ue-despre-anularea-alegerilor-actorii-ostili-urmarind-modelarea-continua-a-opiniei-publice-20654782</w:t>
        </w:r>
      </w:hyperlink>
      <w:r w:rsidR="00543A19">
        <w:rPr>
          <w:rFonts w:ascii="Times New Roman" w:eastAsia="Times New Roman" w:hAnsi="Times New Roman" w:cs="Times New Roman"/>
          <w:kern w:val="0"/>
          <w:sz w:val="24"/>
          <w:szCs w:val="24"/>
          <w:lang w:eastAsia="en-GB"/>
          <w14:ligatures w14:val="none"/>
        </w:rPr>
        <w:t>(Accessed on 4 December 2026).</w:t>
      </w:r>
    </w:p>
    <w:p w14:paraId="6B3128D0" w14:textId="24E7D7E3"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Antena 3: </w:t>
      </w:r>
      <w:hyperlink r:id="rId18" w:history="1">
        <w:r w:rsidRPr="00DE60E1">
          <w:rPr>
            <w:rStyle w:val="Hyperlink"/>
            <w:rFonts w:ascii="Times New Roman" w:eastAsia="Times New Roman" w:hAnsi="Times New Roman" w:cs="Times New Roman"/>
            <w:kern w:val="0"/>
            <w:sz w:val="24"/>
            <w:szCs w:val="24"/>
            <w:lang w:eastAsia="en-GB"/>
            <w14:ligatures w14:val="none"/>
          </w:rPr>
          <w:t>https://www.antena3.ro/politica/reactia-lui-nicusor-dan-dupa-dovezile-aduse-de-procurorul-general-o-dovada-consistenta-a-influentei-rusiei-in-alegerile-din-2024-759783.html</w:t>
        </w:r>
      </w:hyperlink>
      <w:r w:rsidR="00543A19">
        <w:rPr>
          <w:rFonts w:ascii="Times New Roman" w:eastAsia="Times New Roman" w:hAnsi="Times New Roman" w:cs="Times New Roman"/>
          <w:kern w:val="0"/>
          <w:sz w:val="24"/>
          <w:szCs w:val="24"/>
          <w:lang w:eastAsia="en-GB"/>
          <w14:ligatures w14:val="none"/>
        </w:rPr>
        <w:t>(Accessed on 4 December 2026).</w:t>
      </w:r>
    </w:p>
    <w:p w14:paraId="011D2D49" w14:textId="46D0CA63"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lastRenderedPageBreak/>
        <w:t xml:space="preserve">• Realitatea.md: </w:t>
      </w:r>
      <w:hyperlink r:id="rId19" w:history="1">
        <w:r w:rsidRPr="00DE60E1">
          <w:rPr>
            <w:rStyle w:val="Hyperlink"/>
            <w:rFonts w:ascii="Times New Roman" w:eastAsia="Times New Roman" w:hAnsi="Times New Roman" w:cs="Times New Roman"/>
            <w:kern w:val="0"/>
            <w:sz w:val="24"/>
            <w:szCs w:val="24"/>
            <w:lang w:eastAsia="en-GB"/>
            <w14:ligatures w14:val="none"/>
          </w:rPr>
          <w:t>https://realitatea.md/ce-contine-raportul-despre-anularea-alegerilor-din-romania-pe-care-nicusor-dan-l-a-prezentat-liderilor-europeni/</w:t>
        </w:r>
      </w:hyperlink>
      <w:r w:rsidR="00751B36">
        <w:rPr>
          <w:rFonts w:ascii="Times New Roman" w:eastAsia="Times New Roman" w:hAnsi="Times New Roman" w:cs="Times New Roman"/>
          <w:kern w:val="0"/>
          <w:sz w:val="24"/>
          <w:szCs w:val="24"/>
          <w:lang w:eastAsia="en-GB"/>
          <w14:ligatures w14:val="none"/>
        </w:rPr>
        <w:t>(Accessed on 4 December 2026).</w:t>
      </w:r>
    </w:p>
    <w:p w14:paraId="7B886E7A" w14:textId="567ACDE7" w:rsidR="00525F39" w:rsidRDefault="00525F39" w:rsidP="00525F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w:t>
      </w:r>
      <w:proofErr w:type="spellStart"/>
      <w:r w:rsidRPr="00525F39">
        <w:rPr>
          <w:rFonts w:ascii="Times New Roman" w:eastAsia="Times New Roman" w:hAnsi="Times New Roman" w:cs="Times New Roman"/>
          <w:kern w:val="0"/>
          <w:sz w:val="24"/>
          <w:szCs w:val="24"/>
          <w:lang w:eastAsia="en-GB"/>
          <w14:ligatures w14:val="none"/>
        </w:rPr>
        <w:t>Știrile</w:t>
      </w:r>
      <w:proofErr w:type="spellEnd"/>
      <w:r w:rsidRPr="00525F39">
        <w:rPr>
          <w:rFonts w:ascii="Times New Roman" w:eastAsia="Times New Roman" w:hAnsi="Times New Roman" w:cs="Times New Roman"/>
          <w:kern w:val="0"/>
          <w:sz w:val="24"/>
          <w:szCs w:val="24"/>
          <w:lang w:eastAsia="en-GB"/>
          <w14:ligatures w14:val="none"/>
        </w:rPr>
        <w:t xml:space="preserve"> </w:t>
      </w:r>
      <w:proofErr w:type="spellStart"/>
      <w:r w:rsidRPr="00525F39">
        <w:rPr>
          <w:rFonts w:ascii="Times New Roman" w:eastAsia="Times New Roman" w:hAnsi="Times New Roman" w:cs="Times New Roman"/>
          <w:kern w:val="0"/>
          <w:sz w:val="24"/>
          <w:szCs w:val="24"/>
          <w:lang w:eastAsia="en-GB"/>
          <w14:ligatures w14:val="none"/>
        </w:rPr>
        <w:t>ProTV</w:t>
      </w:r>
      <w:proofErr w:type="spellEnd"/>
      <w:r w:rsidRPr="00525F39">
        <w:rPr>
          <w:rFonts w:ascii="Times New Roman" w:eastAsia="Times New Roman" w:hAnsi="Times New Roman" w:cs="Times New Roman"/>
          <w:kern w:val="0"/>
          <w:sz w:val="24"/>
          <w:szCs w:val="24"/>
          <w:lang w:eastAsia="en-GB"/>
          <w14:ligatures w14:val="none"/>
        </w:rPr>
        <w:t xml:space="preserve">: </w:t>
      </w:r>
      <w:hyperlink r:id="rId20" w:history="1">
        <w:r w:rsidRPr="00DE60E1">
          <w:rPr>
            <w:rStyle w:val="Hyperlink"/>
            <w:rFonts w:ascii="Times New Roman" w:eastAsia="Times New Roman" w:hAnsi="Times New Roman" w:cs="Times New Roman"/>
            <w:kern w:val="0"/>
            <w:sz w:val="24"/>
            <w:szCs w:val="24"/>
            <w:lang w:eastAsia="en-GB"/>
            <w14:ligatures w14:val="none"/>
          </w:rPr>
          <w:t>https://stirileprotv.ro/stiri/politic/nicusor-dan-despre-anularea-alegerilor-prezidentiale-din-romania-in-2024-au-fost-folosite-conturi-si-firme-din-rusia.html</w:t>
        </w:r>
      </w:hyperlink>
      <w:r w:rsidR="00751B36">
        <w:rPr>
          <w:rFonts w:ascii="Times New Roman" w:eastAsia="Times New Roman" w:hAnsi="Times New Roman" w:cs="Times New Roman"/>
          <w:kern w:val="0"/>
          <w:sz w:val="24"/>
          <w:szCs w:val="24"/>
          <w:lang w:eastAsia="en-GB"/>
          <w14:ligatures w14:val="none"/>
        </w:rPr>
        <w:t>(Accessed on 4 December 2026).</w:t>
      </w:r>
    </w:p>
    <w:p w14:paraId="6E49B62C" w14:textId="77777777" w:rsidR="00751B36" w:rsidRPr="00751B36" w:rsidRDefault="00751B36" w:rsidP="00751B36">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751B36">
        <w:rPr>
          <w:rFonts w:ascii="Times New Roman" w:eastAsia="Times New Roman" w:hAnsi="Times New Roman" w:cs="Times New Roman"/>
          <w:b/>
          <w:bCs/>
          <w:kern w:val="36"/>
          <w:sz w:val="28"/>
          <w:szCs w:val="28"/>
          <w:lang w:eastAsia="en-GB"/>
          <w14:ligatures w14:val="none"/>
        </w:rPr>
        <w:t>5. Relevance for the present memorandum</w:t>
      </w:r>
    </w:p>
    <w:p w14:paraId="26EEE1F6" w14:textId="77777777" w:rsidR="00751B36" w:rsidRPr="00751B36" w:rsidRDefault="00751B36" w:rsidP="00751B36">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These events are relevant because they illustrate:</w:t>
      </w:r>
    </w:p>
    <w:p w14:paraId="355F6D17" w14:textId="77777777" w:rsidR="00751B36" w:rsidRPr="00751B36" w:rsidRDefault="00751B36" w:rsidP="00751B36">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use of criminal file materials in political and diplomatic contexts,</w:t>
      </w:r>
    </w:p>
    <w:p w14:paraId="28E8D337" w14:textId="77777777" w:rsidR="00751B36" w:rsidRPr="00751B36" w:rsidRDefault="00751B36" w:rsidP="00751B36">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absence of procedural safeguards in the public dissemination of such documents,</w:t>
      </w:r>
    </w:p>
    <w:p w14:paraId="06FB9FE1" w14:textId="77777777" w:rsidR="00751B36" w:rsidRPr="00751B36" w:rsidRDefault="00751B36" w:rsidP="00751B36">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potential impact on electoral fairness, particularly when the individual concerned was already excluded from the race,</w:t>
      </w:r>
    </w:p>
    <w:p w14:paraId="7E31255E" w14:textId="77777777" w:rsidR="00751B36" w:rsidRPr="00751B36" w:rsidRDefault="00751B36" w:rsidP="00751B36">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broader concerns regarding respect for due process and the presumption of innocence,</w:t>
      </w:r>
    </w:p>
    <w:p w14:paraId="7DD67179" w14:textId="3E7394EA" w:rsidR="003108BB" w:rsidRPr="00751B36" w:rsidRDefault="00751B36" w:rsidP="00751B36">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and the fact that the public statement itself revealed that, at the time it was made (6 December 2024), the evidence referred to did not yet exist or had not been formally established.</w:t>
      </w:r>
    </w:p>
    <w:p w14:paraId="00A1DC02"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1BF1C81"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18340D6"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52EEF2B"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06B38CA"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6AC82AF"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127383B"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F1C6BB3" w14:textId="77777777" w:rsidR="003108BB" w:rsidRDefault="003108BB" w:rsidP="00047E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243FCD9" w14:textId="5FE74591" w:rsidR="00047E5A" w:rsidRPr="00047E5A" w:rsidRDefault="00047E5A" w:rsidP="00047E5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047E5A">
        <w:rPr>
          <w:rFonts w:ascii="Times New Roman" w:eastAsia="Times New Roman" w:hAnsi="Times New Roman" w:cs="Times New Roman"/>
          <w:b/>
          <w:bCs/>
          <w:kern w:val="36"/>
          <w:sz w:val="28"/>
          <w:szCs w:val="28"/>
          <w:lang w:eastAsia="en-GB"/>
          <w14:ligatures w14:val="none"/>
        </w:rPr>
        <w:lastRenderedPageBreak/>
        <w:t>Annex 6 – Recording Suggesting Anticipation of New Elections (24 November 2024)</w:t>
      </w:r>
    </w:p>
    <w:p w14:paraId="154800A1" w14:textId="77777777" w:rsidR="00047E5A" w:rsidRPr="00751B36" w:rsidRDefault="00047E5A" w:rsidP="00047E5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751B36">
        <w:rPr>
          <w:rFonts w:ascii="Times New Roman" w:eastAsia="Times New Roman" w:hAnsi="Times New Roman" w:cs="Times New Roman"/>
          <w:b/>
          <w:bCs/>
          <w:kern w:val="0"/>
          <w:sz w:val="24"/>
          <w:szCs w:val="24"/>
          <w:lang w:eastAsia="en-GB"/>
          <w14:ligatures w14:val="none"/>
        </w:rPr>
        <w:t>1. Overview</w:t>
      </w:r>
    </w:p>
    <w:p w14:paraId="064CD445" w14:textId="77777777" w:rsidR="00047E5A" w:rsidRPr="00047E5A" w:rsidRDefault="00047E5A" w:rsidP="0076016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On </w:t>
      </w:r>
      <w:r w:rsidRPr="00047E5A">
        <w:rPr>
          <w:rFonts w:ascii="Times New Roman" w:eastAsia="Times New Roman" w:hAnsi="Times New Roman" w:cs="Times New Roman"/>
          <w:b/>
          <w:bCs/>
          <w:kern w:val="0"/>
          <w:sz w:val="24"/>
          <w:szCs w:val="24"/>
          <w:lang w:eastAsia="en-GB"/>
          <w14:ligatures w14:val="none"/>
        </w:rPr>
        <w:t>24 November 2024</w:t>
      </w:r>
      <w:r w:rsidRPr="00047E5A">
        <w:rPr>
          <w:rFonts w:ascii="Times New Roman" w:eastAsia="Times New Roman" w:hAnsi="Times New Roman" w:cs="Times New Roman"/>
          <w:kern w:val="0"/>
          <w:sz w:val="24"/>
          <w:szCs w:val="24"/>
          <w:lang w:eastAsia="en-GB"/>
          <w14:ligatures w14:val="none"/>
        </w:rPr>
        <w:t xml:space="preserve">, during the first round of the presidential elections, a national television channel broadcast a recording that appears to show a political adviser speaking to the future President. In the recording, the adviser suggests that </w:t>
      </w:r>
      <w:r w:rsidRPr="00047E5A">
        <w:rPr>
          <w:rFonts w:ascii="Times New Roman" w:eastAsia="Times New Roman" w:hAnsi="Times New Roman" w:cs="Times New Roman"/>
          <w:b/>
          <w:bCs/>
          <w:kern w:val="0"/>
          <w:sz w:val="24"/>
          <w:szCs w:val="24"/>
          <w:lang w:eastAsia="en-GB"/>
          <w14:ligatures w14:val="none"/>
        </w:rPr>
        <w:t>if a particular candidate were to enter the second round, new elections should be expected</w:t>
      </w:r>
      <w:r w:rsidRPr="00047E5A">
        <w:rPr>
          <w:rFonts w:ascii="Times New Roman" w:eastAsia="Times New Roman" w:hAnsi="Times New Roman" w:cs="Times New Roman"/>
          <w:kern w:val="0"/>
          <w:sz w:val="24"/>
          <w:szCs w:val="24"/>
          <w:lang w:eastAsia="en-GB"/>
          <w14:ligatures w14:val="none"/>
        </w:rPr>
        <w:t>.</w:t>
      </w:r>
    </w:p>
    <w:p w14:paraId="4C77FBE2" w14:textId="4BB79DA4" w:rsidR="00047E5A" w:rsidRP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The authenticity, context and intent of the exchange remain publicly debated.</w:t>
      </w:r>
      <w:r w:rsidR="0076016C">
        <w:rPr>
          <w:rFonts w:ascii="Times New Roman" w:eastAsia="Times New Roman" w:hAnsi="Times New Roman" w:cs="Times New Roman"/>
          <w:kern w:val="0"/>
          <w:sz w:val="24"/>
          <w:szCs w:val="24"/>
          <w:lang w:eastAsia="en-GB"/>
          <w14:ligatures w14:val="none"/>
        </w:rPr>
        <w:t xml:space="preserve"> </w:t>
      </w:r>
      <w:r w:rsidRPr="00047E5A">
        <w:rPr>
          <w:rFonts w:ascii="Times New Roman" w:eastAsia="Times New Roman" w:hAnsi="Times New Roman" w:cs="Times New Roman"/>
          <w:kern w:val="0"/>
          <w:sz w:val="24"/>
          <w:szCs w:val="24"/>
          <w:lang w:eastAsia="en-GB"/>
          <w14:ligatures w14:val="none"/>
        </w:rPr>
        <w:t>However, the existence of such a recording raises legitimate concerns regarding:</w:t>
      </w:r>
    </w:p>
    <w:p w14:paraId="3206FC5F" w14:textId="77777777" w:rsidR="00047E5A" w:rsidRPr="00047E5A" w:rsidRDefault="00047E5A" w:rsidP="00047E5A">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foreseeability</w:t>
      </w:r>
      <w:r w:rsidRPr="00047E5A">
        <w:rPr>
          <w:rFonts w:ascii="Times New Roman" w:eastAsia="Times New Roman" w:hAnsi="Times New Roman" w:cs="Times New Roman"/>
          <w:kern w:val="0"/>
          <w:sz w:val="24"/>
          <w:szCs w:val="24"/>
          <w:lang w:eastAsia="en-GB"/>
          <w14:ligatures w14:val="none"/>
        </w:rPr>
        <w:t xml:space="preserve"> of the subsequent annulment of the elections,</w:t>
      </w:r>
    </w:p>
    <w:p w14:paraId="510C983C" w14:textId="77777777" w:rsidR="00047E5A" w:rsidRPr="00047E5A" w:rsidRDefault="00047E5A" w:rsidP="00047E5A">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perception of political influence</w:t>
      </w:r>
      <w:r w:rsidRPr="00047E5A">
        <w:rPr>
          <w:rFonts w:ascii="Times New Roman" w:eastAsia="Times New Roman" w:hAnsi="Times New Roman" w:cs="Times New Roman"/>
          <w:kern w:val="0"/>
          <w:sz w:val="24"/>
          <w:szCs w:val="24"/>
          <w:lang w:eastAsia="en-GB"/>
          <w14:ligatures w14:val="none"/>
        </w:rPr>
        <w:t xml:space="preserve"> over the electoral process,</w:t>
      </w:r>
    </w:p>
    <w:p w14:paraId="6B3919D3" w14:textId="77777777" w:rsidR="00047E5A" w:rsidRPr="00047E5A" w:rsidRDefault="00047E5A" w:rsidP="00047E5A">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and the </w:t>
      </w:r>
      <w:r w:rsidRPr="00047E5A">
        <w:rPr>
          <w:rFonts w:ascii="Times New Roman" w:eastAsia="Times New Roman" w:hAnsi="Times New Roman" w:cs="Times New Roman"/>
          <w:b/>
          <w:bCs/>
          <w:kern w:val="0"/>
          <w:sz w:val="24"/>
          <w:szCs w:val="24"/>
          <w:lang w:eastAsia="en-GB"/>
          <w14:ligatures w14:val="none"/>
        </w:rPr>
        <w:t>appearance of prior knowledge</w:t>
      </w:r>
      <w:r w:rsidRPr="00047E5A">
        <w:rPr>
          <w:rFonts w:ascii="Times New Roman" w:eastAsia="Times New Roman" w:hAnsi="Times New Roman" w:cs="Times New Roman"/>
          <w:kern w:val="0"/>
          <w:sz w:val="24"/>
          <w:szCs w:val="24"/>
          <w:lang w:eastAsia="en-GB"/>
          <w14:ligatures w14:val="none"/>
        </w:rPr>
        <w:t xml:space="preserve"> of an outcome that should have been unforeseeable in a democratic system governed by legal certainty.</w:t>
      </w:r>
    </w:p>
    <w:p w14:paraId="2F0E0613" w14:textId="77777777" w:rsidR="00047E5A" w:rsidRPr="00047E5A" w:rsidRDefault="00047E5A" w:rsidP="00047E5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47E5A">
        <w:rPr>
          <w:rFonts w:ascii="Times New Roman" w:eastAsia="Times New Roman" w:hAnsi="Times New Roman" w:cs="Times New Roman"/>
          <w:b/>
          <w:bCs/>
          <w:kern w:val="0"/>
          <w:sz w:val="27"/>
          <w:szCs w:val="27"/>
          <w:lang w:eastAsia="en-GB"/>
          <w14:ligatures w14:val="none"/>
        </w:rPr>
        <w:t>2. Issues raised</w:t>
      </w:r>
    </w:p>
    <w:p w14:paraId="480BCA90" w14:textId="77777777" w:rsidR="00047E5A" w:rsidRP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The recording is relevant for the present memorandum because it may affect:</w:t>
      </w:r>
    </w:p>
    <w:p w14:paraId="0766D0FB" w14:textId="77777777" w:rsidR="00047E5A" w:rsidRPr="00047E5A" w:rsidRDefault="00047E5A" w:rsidP="00047E5A">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public confidence</w:t>
      </w:r>
      <w:r w:rsidRPr="00047E5A">
        <w:rPr>
          <w:rFonts w:ascii="Times New Roman" w:eastAsia="Times New Roman" w:hAnsi="Times New Roman" w:cs="Times New Roman"/>
          <w:kern w:val="0"/>
          <w:sz w:val="24"/>
          <w:szCs w:val="24"/>
          <w:lang w:eastAsia="en-GB"/>
          <w14:ligatures w14:val="none"/>
        </w:rPr>
        <w:t xml:space="preserve"> in the neutrality of the electoral process;</w:t>
      </w:r>
    </w:p>
    <w:p w14:paraId="0E6BD86C" w14:textId="77777777" w:rsidR="00047E5A" w:rsidRPr="00047E5A" w:rsidRDefault="00047E5A" w:rsidP="00047E5A">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appearance of independence</w:t>
      </w:r>
      <w:r w:rsidRPr="00047E5A">
        <w:rPr>
          <w:rFonts w:ascii="Times New Roman" w:eastAsia="Times New Roman" w:hAnsi="Times New Roman" w:cs="Times New Roman"/>
          <w:kern w:val="0"/>
          <w:sz w:val="24"/>
          <w:szCs w:val="24"/>
          <w:lang w:eastAsia="en-GB"/>
          <w14:ligatures w14:val="none"/>
        </w:rPr>
        <w:t xml:space="preserve"> of institutions involved in the annulment;</w:t>
      </w:r>
    </w:p>
    <w:p w14:paraId="5A5A534A" w14:textId="77777777" w:rsidR="00047E5A" w:rsidRPr="00047E5A" w:rsidRDefault="00047E5A" w:rsidP="00047E5A">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perception of pre</w:t>
      </w:r>
      <w:r w:rsidRPr="00047E5A">
        <w:rPr>
          <w:rFonts w:ascii="Times New Roman" w:eastAsia="Times New Roman" w:hAnsi="Times New Roman" w:cs="Times New Roman"/>
          <w:b/>
          <w:bCs/>
          <w:kern w:val="0"/>
          <w:sz w:val="24"/>
          <w:szCs w:val="24"/>
          <w:lang w:eastAsia="en-GB"/>
          <w14:ligatures w14:val="none"/>
        </w:rPr>
        <w:noBreakHyphen/>
        <w:t>determination</w:t>
      </w:r>
      <w:r w:rsidRPr="00047E5A">
        <w:rPr>
          <w:rFonts w:ascii="Times New Roman" w:eastAsia="Times New Roman" w:hAnsi="Times New Roman" w:cs="Times New Roman"/>
          <w:kern w:val="0"/>
          <w:sz w:val="24"/>
          <w:szCs w:val="24"/>
          <w:lang w:eastAsia="en-GB"/>
          <w14:ligatures w14:val="none"/>
        </w:rPr>
        <w:t xml:space="preserve"> of the electoral outcome;</w:t>
      </w:r>
    </w:p>
    <w:p w14:paraId="563A3697" w14:textId="77777777" w:rsidR="00047E5A" w:rsidRPr="00047E5A" w:rsidRDefault="00047E5A" w:rsidP="00047E5A">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credibility of the justification</w:t>
      </w:r>
      <w:r w:rsidRPr="00047E5A">
        <w:rPr>
          <w:rFonts w:ascii="Times New Roman" w:eastAsia="Times New Roman" w:hAnsi="Times New Roman" w:cs="Times New Roman"/>
          <w:kern w:val="0"/>
          <w:sz w:val="24"/>
          <w:szCs w:val="24"/>
          <w:lang w:eastAsia="en-GB"/>
          <w14:ligatures w14:val="none"/>
        </w:rPr>
        <w:t xml:space="preserve"> subsequently offered for the nationwide annulment.</w:t>
      </w:r>
    </w:p>
    <w:p w14:paraId="124D309A" w14:textId="77777777" w:rsidR="00047E5A" w:rsidRP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Even if the recording is subject to interpretation, its public dissemination on election day contributed to concerns about the </w:t>
      </w:r>
      <w:r w:rsidRPr="00047E5A">
        <w:rPr>
          <w:rFonts w:ascii="Times New Roman" w:eastAsia="Times New Roman" w:hAnsi="Times New Roman" w:cs="Times New Roman"/>
          <w:b/>
          <w:bCs/>
          <w:kern w:val="0"/>
          <w:sz w:val="24"/>
          <w:szCs w:val="24"/>
          <w:lang w:eastAsia="en-GB"/>
          <w14:ligatures w14:val="none"/>
        </w:rPr>
        <w:t>predictability</w:t>
      </w:r>
      <w:r w:rsidRPr="00047E5A">
        <w:rPr>
          <w:rFonts w:ascii="Times New Roman" w:eastAsia="Times New Roman" w:hAnsi="Times New Roman" w:cs="Times New Roman"/>
          <w:kern w:val="0"/>
          <w:sz w:val="24"/>
          <w:szCs w:val="24"/>
          <w:lang w:eastAsia="en-GB"/>
          <w14:ligatures w14:val="none"/>
        </w:rPr>
        <w:t xml:space="preserve"> of the annulment and the </w:t>
      </w:r>
      <w:r w:rsidRPr="00047E5A">
        <w:rPr>
          <w:rFonts w:ascii="Times New Roman" w:eastAsia="Times New Roman" w:hAnsi="Times New Roman" w:cs="Times New Roman"/>
          <w:b/>
          <w:bCs/>
          <w:kern w:val="0"/>
          <w:sz w:val="24"/>
          <w:szCs w:val="24"/>
          <w:lang w:eastAsia="en-GB"/>
          <w14:ligatures w14:val="none"/>
        </w:rPr>
        <w:t>possible alignment between political actors and institutional decisions</w:t>
      </w:r>
      <w:r w:rsidRPr="00047E5A">
        <w:rPr>
          <w:rFonts w:ascii="Times New Roman" w:eastAsia="Times New Roman" w:hAnsi="Times New Roman" w:cs="Times New Roman"/>
          <w:kern w:val="0"/>
          <w:sz w:val="24"/>
          <w:szCs w:val="24"/>
          <w:lang w:eastAsia="en-GB"/>
          <w14:ligatures w14:val="none"/>
        </w:rPr>
        <w:t>.</w:t>
      </w:r>
    </w:p>
    <w:p w14:paraId="612DE476" w14:textId="77777777" w:rsidR="00047E5A" w:rsidRPr="00751B36" w:rsidRDefault="00047E5A" w:rsidP="00047E5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751B36">
        <w:rPr>
          <w:rFonts w:ascii="Times New Roman" w:eastAsia="Times New Roman" w:hAnsi="Times New Roman" w:cs="Times New Roman"/>
          <w:b/>
          <w:bCs/>
          <w:kern w:val="0"/>
          <w:sz w:val="24"/>
          <w:szCs w:val="24"/>
          <w:lang w:eastAsia="en-GB"/>
          <w14:ligatures w14:val="none"/>
        </w:rPr>
        <w:t>3. Sources</w:t>
      </w:r>
    </w:p>
    <w:p w14:paraId="4BF89F57" w14:textId="24A85ACF" w:rsidR="00047E5A" w:rsidRPr="00751B36"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R3Media: </w:t>
      </w:r>
      <w:hyperlink r:id="rId21" w:history="1">
        <w:r w:rsidRPr="00047E5A">
          <w:rPr>
            <w:rStyle w:val="Hyperlink"/>
            <w:rFonts w:ascii="Times New Roman" w:eastAsia="Times New Roman" w:hAnsi="Times New Roman" w:cs="Times New Roman"/>
            <w:kern w:val="0"/>
            <w:sz w:val="24"/>
            <w:szCs w:val="24"/>
            <w:lang w:eastAsia="en-GB"/>
            <w14:ligatures w14:val="none"/>
          </w:rPr>
          <w:t>https://r3media.ro/video-24-noiembrie-2024-calin-georgescu-declarat-castigator-primul-tur-nicusor-soptit-pregatire-prezidentiale-alegeri-anulate</w:t>
        </w:r>
      </w:hyperlink>
      <w:r w:rsidR="00751B36">
        <w:t xml:space="preserve">  </w:t>
      </w:r>
      <w:bookmarkStart w:id="1" w:name="_Hlk218382058"/>
      <w:r w:rsidR="00751B36" w:rsidRPr="00751B36">
        <w:rPr>
          <w:rFonts w:ascii="Times New Roman" w:hAnsi="Times New Roman" w:cs="Times New Roman"/>
          <w:sz w:val="24"/>
          <w:szCs w:val="24"/>
        </w:rPr>
        <w:t>(Accessed on 6 December 2026)</w:t>
      </w:r>
      <w:r w:rsidR="00751B36">
        <w:rPr>
          <w:rFonts w:ascii="Times New Roman" w:hAnsi="Times New Roman" w:cs="Times New Roman"/>
          <w:sz w:val="24"/>
          <w:szCs w:val="24"/>
        </w:rPr>
        <w:t>.</w:t>
      </w:r>
    </w:p>
    <w:bookmarkEnd w:id="1"/>
    <w:p w14:paraId="66841254" w14:textId="34ADAA55"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w:t>
      </w:r>
      <w:proofErr w:type="spellStart"/>
      <w:r w:rsidRPr="00047E5A">
        <w:rPr>
          <w:rFonts w:ascii="Times New Roman" w:eastAsia="Times New Roman" w:hAnsi="Times New Roman" w:cs="Times New Roman"/>
          <w:kern w:val="0"/>
          <w:sz w:val="24"/>
          <w:szCs w:val="24"/>
          <w:lang w:eastAsia="en-GB"/>
          <w14:ligatures w14:val="none"/>
        </w:rPr>
        <w:t>ActiveNews</w:t>
      </w:r>
      <w:proofErr w:type="spellEnd"/>
      <w:r w:rsidRPr="00047E5A">
        <w:rPr>
          <w:rFonts w:ascii="Times New Roman" w:eastAsia="Times New Roman" w:hAnsi="Times New Roman" w:cs="Times New Roman"/>
          <w:kern w:val="0"/>
          <w:sz w:val="24"/>
          <w:szCs w:val="24"/>
          <w:lang w:eastAsia="en-GB"/>
          <w14:ligatures w14:val="none"/>
        </w:rPr>
        <w:t xml:space="preserve">: </w:t>
      </w:r>
      <w:hyperlink r:id="rId22" w:history="1">
        <w:r w:rsidRPr="00047E5A">
          <w:rPr>
            <w:rStyle w:val="Hyperlink"/>
            <w:rFonts w:ascii="Times New Roman" w:eastAsia="Times New Roman" w:hAnsi="Times New Roman" w:cs="Times New Roman"/>
            <w:kern w:val="0"/>
            <w:sz w:val="24"/>
            <w:szCs w:val="24"/>
            <w:lang w:eastAsia="en-GB"/>
            <w14:ligatures w14:val="none"/>
          </w:rPr>
          <w:t>https://www.activenews.ro/stiri-dezvaluiri/Daca-intra-Calin-Georgescu-in-Turul-2-te-pregatesti-Nicusor-pentru-prezidentiale-24-noiembrie-2024-Ora-22.06.-Consilierul-USR-Stefan-Stofor-in-direct-catre-Nicusor-Dan-VIDEO-DEZVALUIRE-Col.-r-SRI-Ion-Dedu-201221</w:t>
        </w:r>
      </w:hyperlink>
      <w:r w:rsidRPr="00047E5A">
        <w:rPr>
          <w:rFonts w:ascii="Times New Roman" w:eastAsia="Times New Roman" w:hAnsi="Times New Roman" w:cs="Times New Roman"/>
          <w:kern w:val="0"/>
          <w:sz w:val="24"/>
          <w:szCs w:val="24"/>
          <w:lang w:eastAsia="en-GB"/>
          <w14:ligatures w14:val="none"/>
        </w:rPr>
        <w:t xml:space="preserve"> </w:t>
      </w:r>
      <w:r w:rsidR="00751B36" w:rsidRPr="00751B36">
        <w:rPr>
          <w:rFonts w:ascii="Times New Roman" w:hAnsi="Times New Roman" w:cs="Times New Roman"/>
          <w:sz w:val="24"/>
          <w:szCs w:val="24"/>
        </w:rPr>
        <w:t>(Accessed on 6 December 2026)</w:t>
      </w:r>
      <w:r w:rsidR="00751B36">
        <w:rPr>
          <w:rFonts w:ascii="Times New Roman" w:hAnsi="Times New Roman" w:cs="Times New Roman"/>
          <w:sz w:val="24"/>
          <w:szCs w:val="24"/>
        </w:rPr>
        <w:t>.</w:t>
      </w:r>
    </w:p>
    <w:p w14:paraId="158F2BB7" w14:textId="6399C482" w:rsidR="00751B36" w:rsidRPr="00751B36" w:rsidRDefault="00047E5A" w:rsidP="00751B3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Gândul: </w:t>
      </w:r>
      <w:hyperlink r:id="rId23" w:history="1">
        <w:r w:rsidRPr="00047E5A">
          <w:rPr>
            <w:rStyle w:val="Hyperlink"/>
            <w:rFonts w:ascii="Times New Roman" w:eastAsia="Times New Roman" w:hAnsi="Times New Roman" w:cs="Times New Roman"/>
            <w:kern w:val="0"/>
            <w:sz w:val="24"/>
            <w:szCs w:val="24"/>
            <w:lang w:eastAsia="en-GB"/>
            <w14:ligatures w14:val="none"/>
          </w:rPr>
          <w:t>https://www.gandul.ro/actualitate/filmare-exploziva-cu-nicusor-dan-la-un-an-de-la-anularea-alegerilor-daca-intra-georgescu-in-turul-2-te-pregatesti-nicusor-pentru-prezidentiale-20717029</w:t>
        </w:r>
      </w:hyperlink>
      <w:r w:rsidR="00751B36">
        <w:t xml:space="preserve"> </w:t>
      </w:r>
      <w:r w:rsidR="00751B36" w:rsidRPr="00751B36">
        <w:rPr>
          <w:rFonts w:ascii="Times New Roman" w:hAnsi="Times New Roman" w:cs="Times New Roman"/>
          <w:sz w:val="24"/>
          <w:szCs w:val="24"/>
        </w:rPr>
        <w:t>(Accessed on 6 December 2026)</w:t>
      </w:r>
      <w:r w:rsidR="00575FF4">
        <w:rPr>
          <w:rFonts w:ascii="Times New Roman" w:hAnsi="Times New Roman" w:cs="Times New Roman"/>
          <w:sz w:val="24"/>
          <w:szCs w:val="24"/>
        </w:rPr>
        <w:t>.</w:t>
      </w:r>
    </w:p>
    <w:p w14:paraId="0C423BBB" w14:textId="5DCC1939"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lastRenderedPageBreak/>
        <w:t xml:space="preserve">• </w:t>
      </w:r>
      <w:proofErr w:type="spellStart"/>
      <w:r w:rsidRPr="00047E5A">
        <w:rPr>
          <w:rFonts w:ascii="Times New Roman" w:eastAsia="Times New Roman" w:hAnsi="Times New Roman" w:cs="Times New Roman"/>
          <w:kern w:val="0"/>
          <w:sz w:val="24"/>
          <w:szCs w:val="24"/>
          <w:lang w:eastAsia="en-GB"/>
          <w14:ligatures w14:val="none"/>
        </w:rPr>
        <w:t>Ecopolitic</w:t>
      </w:r>
      <w:proofErr w:type="spellEnd"/>
      <w:r w:rsidRPr="00047E5A">
        <w:rPr>
          <w:rFonts w:ascii="Times New Roman" w:eastAsia="Times New Roman" w:hAnsi="Times New Roman" w:cs="Times New Roman"/>
          <w:kern w:val="0"/>
          <w:sz w:val="24"/>
          <w:szCs w:val="24"/>
          <w:lang w:eastAsia="en-GB"/>
          <w14:ligatures w14:val="none"/>
        </w:rPr>
        <w:t xml:space="preserve">: </w:t>
      </w:r>
      <w:hyperlink r:id="rId24" w:history="1">
        <w:r w:rsidRPr="00047E5A">
          <w:rPr>
            <w:rStyle w:val="Hyperlink"/>
            <w:rFonts w:ascii="Times New Roman" w:eastAsia="Times New Roman" w:hAnsi="Times New Roman" w:cs="Times New Roman"/>
            <w:kern w:val="0"/>
            <w:sz w:val="24"/>
            <w:szCs w:val="24"/>
            <w:lang w:eastAsia="en-GB"/>
            <w14:ligatures w14:val="none"/>
          </w:rPr>
          <w:t>https://ecopolitic.ro/filmare-exploziva-cu-nicusor-dan-din-seara-anularii-alegerilor-daca-intra-georgescu-in-turul-2-te-pregatesti-nicusor-pentru-prezidentiale</w:t>
        </w:r>
      </w:hyperlink>
      <w:r w:rsidR="00575FF4">
        <w:t xml:space="preserve"> </w:t>
      </w:r>
      <w:r w:rsidR="00575FF4" w:rsidRPr="00751B36">
        <w:rPr>
          <w:rFonts w:ascii="Times New Roman" w:hAnsi="Times New Roman" w:cs="Times New Roman"/>
          <w:sz w:val="24"/>
          <w:szCs w:val="24"/>
        </w:rPr>
        <w:t>(Accessed on 6 December 2026)</w:t>
      </w:r>
      <w:r w:rsidR="00575FF4">
        <w:rPr>
          <w:rFonts w:ascii="Times New Roman" w:hAnsi="Times New Roman" w:cs="Times New Roman"/>
          <w:sz w:val="24"/>
          <w:szCs w:val="24"/>
        </w:rPr>
        <w:t>.</w:t>
      </w:r>
    </w:p>
    <w:p w14:paraId="3A171BD4" w14:textId="77777777"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TikTok recordings: </w:t>
      </w:r>
    </w:p>
    <w:p w14:paraId="6AAAD390" w14:textId="307C3382"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5" w:history="1">
        <w:r w:rsidRPr="00047E5A">
          <w:rPr>
            <w:rStyle w:val="Hyperlink"/>
            <w:rFonts w:ascii="Times New Roman" w:eastAsia="Times New Roman" w:hAnsi="Times New Roman" w:cs="Times New Roman"/>
            <w:kern w:val="0"/>
            <w:sz w:val="24"/>
            <w:szCs w:val="24"/>
            <w:lang w:eastAsia="en-GB"/>
            <w14:ligatures w14:val="none"/>
          </w:rPr>
          <w:t>https://vm.tiktok.com/ZNR6XLYa5</w:t>
        </w:r>
      </w:hyperlink>
      <w:r w:rsidR="00575FF4">
        <w:t xml:space="preserve"> </w:t>
      </w:r>
      <w:bookmarkStart w:id="2" w:name="_Hlk218382579"/>
      <w:r w:rsidR="00575FF4" w:rsidRPr="00751B36">
        <w:rPr>
          <w:rFonts w:ascii="Times New Roman" w:hAnsi="Times New Roman" w:cs="Times New Roman"/>
          <w:sz w:val="24"/>
          <w:szCs w:val="24"/>
        </w:rPr>
        <w:t>(Accessed on 6 December 2026)</w:t>
      </w:r>
      <w:r w:rsidR="00575FF4">
        <w:rPr>
          <w:rFonts w:ascii="Times New Roman" w:eastAsia="Times New Roman" w:hAnsi="Times New Roman" w:cs="Times New Roman"/>
          <w:kern w:val="0"/>
          <w:sz w:val="24"/>
          <w:szCs w:val="24"/>
          <w:lang w:eastAsia="en-GB"/>
          <w14:ligatures w14:val="none"/>
        </w:rPr>
        <w:t>.</w:t>
      </w:r>
      <w:bookmarkEnd w:id="2"/>
    </w:p>
    <w:p w14:paraId="46D791F0" w14:textId="4143001A" w:rsidR="00047E5A" w:rsidRDefault="00047E5A" w:rsidP="00575FF4">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w:t>
      </w:r>
      <w:hyperlink r:id="rId26" w:history="1">
        <w:r w:rsidRPr="00047E5A">
          <w:rPr>
            <w:rStyle w:val="Hyperlink"/>
            <w:rFonts w:ascii="Times New Roman" w:eastAsia="Times New Roman" w:hAnsi="Times New Roman" w:cs="Times New Roman"/>
            <w:kern w:val="0"/>
            <w:sz w:val="24"/>
            <w:szCs w:val="24"/>
            <w:lang w:eastAsia="en-GB"/>
            <w14:ligatures w14:val="none"/>
          </w:rPr>
          <w:t>https://vm.tiktok.com/ZNR6Cwfkf</w:t>
        </w:r>
      </w:hyperlink>
      <w:r w:rsidRPr="00047E5A">
        <w:rPr>
          <w:rFonts w:ascii="Times New Roman" w:eastAsia="Times New Roman" w:hAnsi="Times New Roman" w:cs="Times New Roman"/>
          <w:kern w:val="0"/>
          <w:sz w:val="24"/>
          <w:szCs w:val="24"/>
          <w:lang w:eastAsia="en-GB"/>
          <w14:ligatures w14:val="none"/>
        </w:rPr>
        <w:t xml:space="preserve"> </w:t>
      </w:r>
      <w:r w:rsidR="00575FF4">
        <w:rPr>
          <w:rFonts w:ascii="Times New Roman" w:eastAsia="Times New Roman" w:hAnsi="Times New Roman" w:cs="Times New Roman"/>
          <w:kern w:val="0"/>
          <w:sz w:val="24"/>
          <w:szCs w:val="24"/>
          <w:lang w:eastAsia="en-GB"/>
          <w14:ligatures w14:val="none"/>
        </w:rPr>
        <w:t xml:space="preserve"> - Journalist Robert Turcescu stating that the conversation between USR representative and Mr Nicusor Dan is authentic, real.</w:t>
      </w:r>
      <w:r w:rsidR="00575FF4" w:rsidRPr="00575FF4">
        <w:rPr>
          <w:rFonts w:ascii="Times New Roman" w:eastAsia="Times New Roman" w:hAnsi="Times New Roman" w:cs="Times New Roman"/>
          <w:kern w:val="0"/>
          <w:sz w:val="24"/>
          <w:szCs w:val="24"/>
          <w:lang w:eastAsia="en-GB"/>
          <w14:ligatures w14:val="none"/>
        </w:rPr>
        <w:t xml:space="preserve"> This reference is included solely to illustrate the public impact and the level of attention the matter has generated, without making any assertion regarding the factual accuracy of the underlying materials.</w:t>
      </w:r>
      <w:r w:rsidR="00575FF4" w:rsidRPr="00575FF4">
        <w:rPr>
          <w:rFonts w:ascii="Times New Roman" w:hAnsi="Times New Roman" w:cs="Times New Roman"/>
          <w:sz w:val="24"/>
          <w:szCs w:val="24"/>
        </w:rPr>
        <w:t xml:space="preserve"> </w:t>
      </w:r>
      <w:r w:rsidR="00575FF4" w:rsidRPr="00751B36">
        <w:rPr>
          <w:rFonts w:ascii="Times New Roman" w:hAnsi="Times New Roman" w:cs="Times New Roman"/>
          <w:sz w:val="24"/>
          <w:szCs w:val="24"/>
        </w:rPr>
        <w:t>(Accessed on 6 December 2026)</w:t>
      </w:r>
      <w:r w:rsidR="00575FF4">
        <w:rPr>
          <w:rFonts w:ascii="Times New Roman" w:eastAsia="Times New Roman" w:hAnsi="Times New Roman" w:cs="Times New Roman"/>
          <w:kern w:val="0"/>
          <w:sz w:val="24"/>
          <w:szCs w:val="24"/>
          <w:lang w:eastAsia="en-GB"/>
          <w14:ligatures w14:val="none"/>
        </w:rPr>
        <w:t>.</w:t>
      </w:r>
    </w:p>
    <w:p w14:paraId="1D20EC05" w14:textId="54B10411"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7" w:history="1">
        <w:r w:rsidRPr="00047E5A">
          <w:rPr>
            <w:rStyle w:val="Hyperlink"/>
            <w:rFonts w:ascii="Times New Roman" w:eastAsia="Times New Roman" w:hAnsi="Times New Roman" w:cs="Times New Roman"/>
            <w:kern w:val="0"/>
            <w:sz w:val="24"/>
            <w:szCs w:val="24"/>
            <w:lang w:eastAsia="en-GB"/>
            <w14:ligatures w14:val="none"/>
          </w:rPr>
          <w:t>https://vm.tiktok.com/ZNR6CwXye</w:t>
        </w:r>
      </w:hyperlink>
      <w:r w:rsidR="00575FF4">
        <w:t xml:space="preserve"> </w:t>
      </w:r>
      <w:r w:rsidR="00575FF4" w:rsidRPr="00751B36">
        <w:rPr>
          <w:rFonts w:ascii="Times New Roman" w:hAnsi="Times New Roman" w:cs="Times New Roman"/>
          <w:sz w:val="24"/>
          <w:szCs w:val="24"/>
        </w:rPr>
        <w:t>(Accessed on 6 December 2026)</w:t>
      </w:r>
      <w:r w:rsidR="00575FF4">
        <w:rPr>
          <w:rFonts w:ascii="Times New Roman" w:eastAsia="Times New Roman" w:hAnsi="Times New Roman" w:cs="Times New Roman"/>
          <w:kern w:val="0"/>
          <w:sz w:val="24"/>
          <w:szCs w:val="24"/>
          <w:lang w:eastAsia="en-GB"/>
          <w14:ligatures w14:val="none"/>
        </w:rPr>
        <w:t>.</w:t>
      </w:r>
    </w:p>
    <w:p w14:paraId="07C9C8BD" w14:textId="4E5D578F"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8" w:history="1">
        <w:r w:rsidRPr="00047E5A">
          <w:rPr>
            <w:rStyle w:val="Hyperlink"/>
            <w:rFonts w:ascii="Times New Roman" w:eastAsia="Times New Roman" w:hAnsi="Times New Roman" w:cs="Times New Roman"/>
            <w:kern w:val="0"/>
            <w:sz w:val="24"/>
            <w:szCs w:val="24"/>
            <w:lang w:eastAsia="en-GB"/>
            <w14:ligatures w14:val="none"/>
          </w:rPr>
          <w:t>https://vm.tiktok.com/ZNR6CcNe6</w:t>
        </w:r>
      </w:hyperlink>
      <w:r w:rsidR="00575FF4">
        <w:t xml:space="preserve"> </w:t>
      </w:r>
      <w:r w:rsidR="00575FF4" w:rsidRPr="00751B36">
        <w:rPr>
          <w:rFonts w:ascii="Times New Roman" w:hAnsi="Times New Roman" w:cs="Times New Roman"/>
          <w:sz w:val="24"/>
          <w:szCs w:val="24"/>
        </w:rPr>
        <w:t>(Accessed on 6 December</w:t>
      </w:r>
      <w:r w:rsidR="00575FF4">
        <w:rPr>
          <w:rFonts w:ascii="Times New Roman" w:hAnsi="Times New Roman" w:cs="Times New Roman"/>
          <w:sz w:val="24"/>
          <w:szCs w:val="24"/>
        </w:rPr>
        <w:t>).</w:t>
      </w:r>
    </w:p>
    <w:p w14:paraId="061322E7" w14:textId="45C728AA"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9" w:history="1">
        <w:r w:rsidRPr="00047E5A">
          <w:rPr>
            <w:rStyle w:val="Hyperlink"/>
            <w:rFonts w:ascii="Times New Roman" w:eastAsia="Times New Roman" w:hAnsi="Times New Roman" w:cs="Times New Roman"/>
            <w:kern w:val="0"/>
            <w:sz w:val="24"/>
            <w:szCs w:val="24"/>
            <w:lang w:eastAsia="en-GB"/>
            <w14:ligatures w14:val="none"/>
          </w:rPr>
          <w:t>https://vm.tiktok.com/ZNR6CvGA8</w:t>
        </w:r>
      </w:hyperlink>
      <w:r w:rsidR="00575FF4">
        <w:t xml:space="preserve"> </w:t>
      </w:r>
      <w:r w:rsidR="00575FF4" w:rsidRPr="00751B36">
        <w:rPr>
          <w:rFonts w:ascii="Times New Roman" w:hAnsi="Times New Roman" w:cs="Times New Roman"/>
          <w:sz w:val="24"/>
          <w:szCs w:val="24"/>
        </w:rPr>
        <w:t>(Accessed on 6 December 2026)</w:t>
      </w:r>
      <w:r w:rsidR="00575FF4">
        <w:rPr>
          <w:rFonts w:ascii="Times New Roman" w:eastAsia="Times New Roman" w:hAnsi="Times New Roman" w:cs="Times New Roman"/>
          <w:kern w:val="0"/>
          <w:sz w:val="24"/>
          <w:szCs w:val="24"/>
          <w:lang w:eastAsia="en-GB"/>
          <w14:ligatures w14:val="none"/>
        </w:rPr>
        <w:t>.</w:t>
      </w:r>
    </w:p>
    <w:p w14:paraId="38A27A3B" w14:textId="032D031D" w:rsid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30" w:history="1">
        <w:r w:rsidRPr="00047E5A">
          <w:rPr>
            <w:rStyle w:val="Hyperlink"/>
            <w:rFonts w:ascii="Times New Roman" w:eastAsia="Times New Roman" w:hAnsi="Times New Roman" w:cs="Times New Roman"/>
            <w:kern w:val="0"/>
            <w:sz w:val="24"/>
            <w:szCs w:val="24"/>
            <w:lang w:eastAsia="en-GB"/>
            <w14:ligatures w14:val="none"/>
          </w:rPr>
          <w:t>https://vm.tiktok.com/ZNR6CoEEm</w:t>
        </w:r>
      </w:hyperlink>
      <w:r w:rsidR="00301937">
        <w:t xml:space="preserve"> </w:t>
      </w:r>
      <w:r w:rsidR="00301937" w:rsidRPr="00751B36">
        <w:rPr>
          <w:rFonts w:ascii="Times New Roman" w:hAnsi="Times New Roman" w:cs="Times New Roman"/>
          <w:sz w:val="24"/>
          <w:szCs w:val="24"/>
        </w:rPr>
        <w:t>(Accessed on 6 December 2026)</w:t>
      </w:r>
      <w:r w:rsidR="00301937">
        <w:rPr>
          <w:rFonts w:ascii="Times New Roman" w:eastAsia="Times New Roman" w:hAnsi="Times New Roman" w:cs="Times New Roman"/>
          <w:kern w:val="0"/>
          <w:sz w:val="24"/>
          <w:szCs w:val="24"/>
          <w:lang w:eastAsia="en-GB"/>
          <w14:ligatures w14:val="none"/>
        </w:rPr>
        <w:t>.</w:t>
      </w:r>
    </w:p>
    <w:p w14:paraId="7B371C57" w14:textId="77777777" w:rsidR="00047E5A" w:rsidRPr="00047E5A" w:rsidRDefault="00047E5A" w:rsidP="00047E5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47E5A">
        <w:rPr>
          <w:rFonts w:ascii="Times New Roman" w:eastAsia="Times New Roman" w:hAnsi="Times New Roman" w:cs="Times New Roman"/>
          <w:b/>
          <w:bCs/>
          <w:kern w:val="0"/>
          <w:sz w:val="27"/>
          <w:szCs w:val="27"/>
          <w:lang w:eastAsia="en-GB"/>
          <w14:ligatures w14:val="none"/>
        </w:rPr>
        <w:t>4. Relevance for the present memorandum</w:t>
      </w:r>
    </w:p>
    <w:p w14:paraId="0C472746" w14:textId="77777777" w:rsidR="00047E5A" w:rsidRPr="00047E5A" w:rsidRDefault="00047E5A" w:rsidP="00047E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This recording contributes to the broader concerns documented in the memorandum regarding:</w:t>
      </w:r>
    </w:p>
    <w:p w14:paraId="20BA710A" w14:textId="77777777" w:rsidR="00047E5A" w:rsidRPr="00047E5A" w:rsidRDefault="00047E5A" w:rsidP="00047E5A">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transparency and predictability</w:t>
      </w:r>
      <w:r w:rsidRPr="00047E5A">
        <w:rPr>
          <w:rFonts w:ascii="Times New Roman" w:eastAsia="Times New Roman" w:hAnsi="Times New Roman" w:cs="Times New Roman"/>
          <w:kern w:val="0"/>
          <w:sz w:val="24"/>
          <w:szCs w:val="24"/>
          <w:lang w:eastAsia="en-GB"/>
          <w14:ligatures w14:val="none"/>
        </w:rPr>
        <w:t xml:space="preserve"> of the electoral process,</w:t>
      </w:r>
    </w:p>
    <w:p w14:paraId="2B8F407C" w14:textId="77777777" w:rsidR="00047E5A" w:rsidRPr="00047E5A" w:rsidRDefault="00047E5A" w:rsidP="00047E5A">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public trust</w:t>
      </w:r>
      <w:r w:rsidRPr="00047E5A">
        <w:rPr>
          <w:rFonts w:ascii="Times New Roman" w:eastAsia="Times New Roman" w:hAnsi="Times New Roman" w:cs="Times New Roman"/>
          <w:kern w:val="0"/>
          <w:sz w:val="24"/>
          <w:szCs w:val="24"/>
          <w:lang w:eastAsia="en-GB"/>
          <w14:ligatures w14:val="none"/>
        </w:rPr>
        <w:t xml:space="preserve"> in the neutrality of institutions,</w:t>
      </w:r>
    </w:p>
    <w:p w14:paraId="31A9A333" w14:textId="21879BA9" w:rsidR="00047E5A" w:rsidRPr="00047E5A" w:rsidRDefault="00301937" w:rsidP="00047E5A">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01937">
        <w:rPr>
          <w:rFonts w:ascii="Times New Roman" w:eastAsia="Times New Roman" w:hAnsi="Times New Roman" w:cs="Times New Roman"/>
          <w:kern w:val="0"/>
          <w:sz w:val="24"/>
          <w:szCs w:val="24"/>
          <w:lang w:eastAsia="en-GB"/>
          <w14:ligatures w14:val="none"/>
        </w:rPr>
        <w:t>and the appearance that certain political actors may have had prior knowledge of the forthcoming annulment.</w:t>
      </w:r>
    </w:p>
    <w:p w14:paraId="56272A02" w14:textId="2A628B52" w:rsidR="002E39BF" w:rsidRPr="00424F77" w:rsidRDefault="00047E5A" w:rsidP="00424F7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Its inclusion is therefore necessary to illustrate the </w:t>
      </w:r>
      <w:r w:rsidRPr="00047E5A">
        <w:rPr>
          <w:rFonts w:ascii="Times New Roman" w:eastAsia="Times New Roman" w:hAnsi="Times New Roman" w:cs="Times New Roman"/>
          <w:b/>
          <w:bCs/>
          <w:kern w:val="0"/>
          <w:sz w:val="24"/>
          <w:szCs w:val="24"/>
          <w:lang w:eastAsia="en-GB"/>
          <w14:ligatures w14:val="none"/>
        </w:rPr>
        <w:t>contextual environment</w:t>
      </w:r>
      <w:r w:rsidRPr="00047E5A">
        <w:rPr>
          <w:rFonts w:ascii="Times New Roman" w:eastAsia="Times New Roman" w:hAnsi="Times New Roman" w:cs="Times New Roman"/>
          <w:kern w:val="0"/>
          <w:sz w:val="24"/>
          <w:szCs w:val="24"/>
          <w:lang w:eastAsia="en-GB"/>
          <w14:ligatures w14:val="none"/>
        </w:rPr>
        <w:t xml:space="preserve"> in which the annulment occurred.</w:t>
      </w:r>
    </w:p>
    <w:p w14:paraId="293EF7CC" w14:textId="77777777" w:rsidR="0076016C" w:rsidRDefault="0076016C" w:rsidP="003D36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F207DF1" w14:textId="77777777" w:rsidR="0076016C" w:rsidRDefault="0076016C" w:rsidP="003D36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B97E4D5" w14:textId="77777777" w:rsidR="0076016C" w:rsidRDefault="0076016C" w:rsidP="003D36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C462752" w14:textId="77777777" w:rsidR="0076016C" w:rsidRDefault="0076016C" w:rsidP="003D36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C58657A" w14:textId="77777777" w:rsidR="0076016C" w:rsidRDefault="0076016C" w:rsidP="003D36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2AB2293" w14:textId="47EFE965" w:rsidR="001F03B4" w:rsidRPr="001F03B4" w:rsidRDefault="003D36DB" w:rsidP="0076016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3D36DB">
        <w:rPr>
          <w:rFonts w:ascii="Times New Roman" w:eastAsia="Times New Roman" w:hAnsi="Times New Roman" w:cs="Times New Roman"/>
          <w:b/>
          <w:bCs/>
          <w:kern w:val="36"/>
          <w:sz w:val="28"/>
          <w:szCs w:val="28"/>
          <w:lang w:eastAsia="en-GB"/>
          <w14:ligatures w14:val="none"/>
        </w:rPr>
        <w:lastRenderedPageBreak/>
        <w:t>AN</w:t>
      </w:r>
      <w:r w:rsidRPr="0076016C">
        <w:rPr>
          <w:rFonts w:ascii="Times New Roman" w:eastAsia="Times New Roman" w:hAnsi="Times New Roman" w:cs="Times New Roman"/>
          <w:b/>
          <w:bCs/>
          <w:kern w:val="36"/>
          <w:sz w:val="28"/>
          <w:szCs w:val="28"/>
          <w:lang w:eastAsia="en-GB"/>
          <w14:ligatures w14:val="none"/>
        </w:rPr>
        <w:t>NEX</w:t>
      </w:r>
      <w:r w:rsidRPr="003D36DB">
        <w:rPr>
          <w:rFonts w:ascii="Times New Roman" w:eastAsia="Times New Roman" w:hAnsi="Times New Roman" w:cs="Times New Roman"/>
          <w:b/>
          <w:bCs/>
          <w:kern w:val="36"/>
          <w:sz w:val="28"/>
          <w:szCs w:val="28"/>
          <w:lang w:eastAsia="en-GB"/>
          <w14:ligatures w14:val="none"/>
        </w:rPr>
        <w:t xml:space="preserve"> </w:t>
      </w:r>
      <w:r w:rsidRPr="0076016C">
        <w:rPr>
          <w:rFonts w:ascii="Times New Roman" w:eastAsia="Times New Roman" w:hAnsi="Times New Roman" w:cs="Times New Roman"/>
          <w:b/>
          <w:bCs/>
          <w:kern w:val="36"/>
          <w:sz w:val="28"/>
          <w:szCs w:val="28"/>
          <w:lang w:eastAsia="en-GB"/>
          <w14:ligatures w14:val="none"/>
        </w:rPr>
        <w:t>7</w:t>
      </w:r>
      <w:r w:rsidR="0076016C" w:rsidRPr="0076016C">
        <w:rPr>
          <w:rFonts w:ascii="Times New Roman" w:eastAsia="Times New Roman" w:hAnsi="Times New Roman" w:cs="Times New Roman"/>
          <w:b/>
          <w:bCs/>
          <w:kern w:val="36"/>
          <w:sz w:val="28"/>
          <w:szCs w:val="28"/>
          <w:lang w:eastAsia="en-GB"/>
          <w14:ligatures w14:val="none"/>
        </w:rPr>
        <w:t xml:space="preserve"> </w:t>
      </w:r>
      <w:r w:rsidR="001F03B4" w:rsidRPr="001F03B4">
        <w:rPr>
          <w:rFonts w:ascii="Times New Roman" w:eastAsia="Times New Roman" w:hAnsi="Times New Roman" w:cs="Times New Roman"/>
          <w:b/>
          <w:bCs/>
          <w:kern w:val="0"/>
          <w:sz w:val="28"/>
          <w:szCs w:val="28"/>
          <w:lang w:eastAsia="en-GB"/>
          <w14:ligatures w14:val="none"/>
        </w:rPr>
        <w:t>Summary and Legal Assessment of Law No. 241/2025 (formerly PL</w:t>
      </w:r>
      <w:r w:rsidR="001F03B4" w:rsidRPr="001F03B4">
        <w:rPr>
          <w:rFonts w:ascii="Times New Roman" w:eastAsia="Times New Roman" w:hAnsi="Times New Roman" w:cs="Times New Roman"/>
          <w:b/>
          <w:bCs/>
          <w:kern w:val="0"/>
          <w:sz w:val="28"/>
          <w:szCs w:val="28"/>
          <w:lang w:eastAsia="en-GB"/>
          <w14:ligatures w14:val="none"/>
        </w:rPr>
        <w:noBreakHyphen/>
        <w:t>x 168/2023, “Vexler Law”)</w:t>
      </w:r>
    </w:p>
    <w:p w14:paraId="3A5A4249" w14:textId="77777777" w:rsidR="001F03B4" w:rsidRPr="001F03B4" w:rsidRDefault="001F03B4" w:rsidP="001F03B4">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F03B4">
        <w:rPr>
          <w:rFonts w:ascii="Times New Roman" w:eastAsia="Times New Roman" w:hAnsi="Times New Roman" w:cs="Times New Roman"/>
          <w:b/>
          <w:bCs/>
          <w:kern w:val="0"/>
          <w:sz w:val="24"/>
          <w:szCs w:val="24"/>
          <w:lang w:eastAsia="en-GB"/>
          <w14:ligatures w14:val="none"/>
        </w:rPr>
        <w:t>1. Official title and source</w:t>
      </w:r>
    </w:p>
    <w:p w14:paraId="33ADBF0A" w14:textId="77777777" w:rsidR="001F03B4" w:rsidRPr="001F03B4" w:rsidRDefault="001F03B4" w:rsidP="001F03B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F03B4">
        <w:rPr>
          <w:rFonts w:ascii="Times New Roman" w:eastAsia="Times New Roman" w:hAnsi="Times New Roman" w:cs="Times New Roman"/>
          <w:b/>
          <w:bCs/>
          <w:kern w:val="0"/>
          <w:sz w:val="24"/>
          <w:szCs w:val="24"/>
          <w:lang w:eastAsia="en-GB"/>
          <w14:ligatures w14:val="none"/>
        </w:rPr>
        <w:t>Law No. 241/2025</w:t>
      </w:r>
      <w:r w:rsidRPr="001F03B4">
        <w:rPr>
          <w:rFonts w:ascii="Times New Roman" w:eastAsia="Times New Roman" w:hAnsi="Times New Roman" w:cs="Times New Roman"/>
          <w:kern w:val="0"/>
          <w:sz w:val="24"/>
          <w:szCs w:val="24"/>
          <w:lang w:eastAsia="en-GB"/>
          <w14:ligatures w14:val="none"/>
        </w:rPr>
        <w:t xml:space="preserve"> for the amendment and completion of Government Ordinance No. 31/2002 on prohibiting fascist, racist or xenophobic organisations and symbols.</w:t>
      </w:r>
    </w:p>
    <w:p w14:paraId="64880C6D" w14:textId="626ECF7B" w:rsidR="001F03B4" w:rsidRPr="00301937" w:rsidRDefault="003D36DB" w:rsidP="003D36DB">
      <w:pPr>
        <w:spacing w:before="100" w:beforeAutospacing="1" w:after="100" w:afterAutospacing="1" w:line="240" w:lineRule="auto"/>
        <w:rPr>
          <w:rFonts w:ascii="Times New Roman" w:hAnsi="Times New Roman" w:cs="Times New Roman"/>
          <w:b/>
          <w:bCs/>
          <w:sz w:val="24"/>
          <w:szCs w:val="24"/>
        </w:rPr>
      </w:pPr>
      <w:r w:rsidRPr="00301937">
        <w:rPr>
          <w:rStyle w:val="Strong"/>
          <w:rFonts w:ascii="Times New Roman" w:hAnsi="Times New Roman" w:cs="Times New Roman"/>
          <w:sz w:val="24"/>
          <w:szCs w:val="24"/>
        </w:rPr>
        <w:t>Official source</w:t>
      </w:r>
      <w:r w:rsidR="001F03B4" w:rsidRPr="00301937">
        <w:rPr>
          <w:rStyle w:val="Strong"/>
          <w:rFonts w:ascii="Times New Roman" w:hAnsi="Times New Roman" w:cs="Times New Roman"/>
          <w:sz w:val="24"/>
          <w:szCs w:val="24"/>
        </w:rPr>
        <w:t xml:space="preserve"> </w:t>
      </w:r>
      <w:hyperlink r:id="rId31" w:history="1">
        <w:r w:rsidR="001F03B4" w:rsidRPr="00301937">
          <w:rPr>
            <w:rStyle w:val="Hyperlink"/>
            <w:rFonts w:ascii="Times New Roman" w:hAnsi="Times New Roman" w:cs="Times New Roman"/>
            <w:sz w:val="24"/>
            <w:szCs w:val="24"/>
          </w:rPr>
          <w:t>https://legislatie.just.ro/Public/DetaliiDocument/305792</w:t>
        </w:r>
      </w:hyperlink>
      <w:r w:rsidR="00301937" w:rsidRPr="00301937">
        <w:rPr>
          <w:rFonts w:ascii="Times New Roman" w:hAnsi="Times New Roman" w:cs="Times New Roman"/>
          <w:sz w:val="24"/>
          <w:szCs w:val="24"/>
        </w:rPr>
        <w:t xml:space="preserve"> (Accessed on 4 December 2026)</w:t>
      </w:r>
    </w:p>
    <w:p w14:paraId="5D6A6AAA" w14:textId="77777777" w:rsidR="00515EE9" w:rsidRPr="00515EE9" w:rsidRDefault="00515EE9" w:rsidP="00515EE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2. Object and scope of the law</w:t>
      </w:r>
    </w:p>
    <w:p w14:paraId="568AEB53" w14:textId="77777777" w:rsidR="00515EE9" w:rsidRPr="00515EE9" w:rsidRDefault="00515EE9" w:rsidP="0076016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Law No. 241/2025 significantly expands the scope of criminal and administrative sanctions applicable to expressions relating to historical, cultural or political matters. It introduces new categories of prohibited speech and broadens the definitions of extremist or antisemitic manifestations, without providing clear, foreseeable or proportionate criteria. The law affects not only hate speech but also symbolic, cultural or identity</w:t>
      </w:r>
      <w:r w:rsidRPr="00515EE9">
        <w:rPr>
          <w:rFonts w:ascii="Times New Roman" w:eastAsia="Times New Roman" w:hAnsi="Times New Roman" w:cs="Times New Roman"/>
          <w:kern w:val="0"/>
          <w:sz w:val="24"/>
          <w:szCs w:val="24"/>
          <w:lang w:eastAsia="en-GB"/>
          <w14:ligatures w14:val="none"/>
        </w:rPr>
        <w:noBreakHyphen/>
        <w:t>based expressions that do not incite hatred or violence.</w:t>
      </w:r>
    </w:p>
    <w:p w14:paraId="091A5E8A" w14:textId="2DFEB87A" w:rsidR="00515EE9" w:rsidRPr="00515EE9" w:rsidRDefault="00515EE9" w:rsidP="00515EE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3. Main concerns regarding compatibility with</w:t>
      </w:r>
      <w:r w:rsidR="00081D8E" w:rsidRPr="0076016C">
        <w:rPr>
          <w:rFonts w:ascii="Times New Roman" w:eastAsia="Times New Roman" w:hAnsi="Times New Roman" w:cs="Times New Roman"/>
          <w:b/>
          <w:bCs/>
          <w:kern w:val="0"/>
          <w:sz w:val="24"/>
          <w:szCs w:val="24"/>
          <w:lang w:eastAsia="en-GB"/>
          <w14:ligatures w14:val="none"/>
        </w:rPr>
        <w:t xml:space="preserve"> Articles 8 and 10 of </w:t>
      </w:r>
      <w:r w:rsidRPr="00515EE9">
        <w:rPr>
          <w:rFonts w:ascii="Times New Roman" w:eastAsia="Times New Roman" w:hAnsi="Times New Roman" w:cs="Times New Roman"/>
          <w:b/>
          <w:bCs/>
          <w:kern w:val="0"/>
          <w:sz w:val="24"/>
          <w:szCs w:val="24"/>
          <w:lang w:eastAsia="en-GB"/>
          <w14:ligatures w14:val="none"/>
        </w:rPr>
        <w:t>ECHR</w:t>
      </w:r>
    </w:p>
    <w:p w14:paraId="53A97E51" w14:textId="77777777" w:rsidR="00515EE9" w:rsidRPr="00515EE9" w:rsidRDefault="00515EE9" w:rsidP="00515EE9">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a. Lack of clear, precise and Convention</w:t>
      </w:r>
      <w:r w:rsidRPr="00515EE9">
        <w:rPr>
          <w:rFonts w:ascii="Times New Roman" w:eastAsia="Times New Roman" w:hAnsi="Times New Roman" w:cs="Times New Roman"/>
          <w:b/>
          <w:bCs/>
          <w:kern w:val="0"/>
          <w:sz w:val="24"/>
          <w:szCs w:val="24"/>
          <w:lang w:eastAsia="en-GB"/>
          <w14:ligatures w14:val="none"/>
        </w:rPr>
        <w:noBreakHyphen/>
        <w:t>compliant definitions</w:t>
      </w:r>
    </w:p>
    <w:p w14:paraId="285FCD62" w14:textId="77777777" w:rsidR="00515EE9" w:rsidRPr="00515EE9" w:rsidRDefault="00515EE9"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Although the law introduces several definitions — including those of “antisemitism”, “xenophobia”, “radicalisation” and “hate speech” — these definitions do </w:t>
      </w:r>
      <w:r w:rsidRPr="00515EE9">
        <w:rPr>
          <w:rFonts w:ascii="Times New Roman" w:eastAsia="Times New Roman" w:hAnsi="Times New Roman" w:cs="Times New Roman"/>
          <w:b/>
          <w:bCs/>
          <w:kern w:val="0"/>
          <w:sz w:val="24"/>
          <w:szCs w:val="24"/>
          <w:lang w:eastAsia="en-GB"/>
          <w14:ligatures w14:val="none"/>
        </w:rPr>
        <w:t>not</w:t>
      </w:r>
      <w:r w:rsidRPr="00515EE9">
        <w:rPr>
          <w:rFonts w:ascii="Times New Roman" w:eastAsia="Times New Roman" w:hAnsi="Times New Roman" w:cs="Times New Roman"/>
          <w:kern w:val="0"/>
          <w:sz w:val="24"/>
          <w:szCs w:val="24"/>
          <w:lang w:eastAsia="en-GB"/>
          <w14:ligatures w14:val="none"/>
        </w:rPr>
        <w:t xml:space="preserve"> meet the requirements of clarity, precision and foreseeability established by the European Court of Human Rights.</w:t>
      </w:r>
    </w:p>
    <w:p w14:paraId="7E56E7EA" w14:textId="3F3EB730" w:rsidR="00515EE9" w:rsidRDefault="00515EE9" w:rsidP="00AA48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The definition of </w:t>
      </w:r>
      <w:r w:rsidRPr="00515EE9">
        <w:rPr>
          <w:rFonts w:ascii="Times New Roman" w:eastAsia="Times New Roman" w:hAnsi="Times New Roman" w:cs="Times New Roman"/>
          <w:b/>
          <w:bCs/>
          <w:kern w:val="0"/>
          <w:sz w:val="24"/>
          <w:szCs w:val="24"/>
          <w:lang w:eastAsia="en-GB"/>
          <w14:ligatures w14:val="none"/>
        </w:rPr>
        <w:t>antisemitism</w:t>
      </w:r>
      <w:r w:rsidRPr="00515EE9">
        <w:rPr>
          <w:rFonts w:ascii="Times New Roman" w:eastAsia="Times New Roman" w:hAnsi="Times New Roman" w:cs="Times New Roman"/>
          <w:kern w:val="0"/>
          <w:sz w:val="24"/>
          <w:szCs w:val="24"/>
          <w:lang w:eastAsia="en-GB"/>
          <w14:ligatures w14:val="none"/>
        </w:rPr>
        <w:t xml:space="preserve"> is partially inspired by the I</w:t>
      </w:r>
      <w:r w:rsidR="00AA4811">
        <w:rPr>
          <w:rFonts w:ascii="Times New Roman" w:eastAsia="Times New Roman" w:hAnsi="Times New Roman" w:cs="Times New Roman"/>
          <w:kern w:val="0"/>
          <w:sz w:val="24"/>
          <w:szCs w:val="24"/>
          <w:lang w:eastAsia="en-GB"/>
          <w14:ligatures w14:val="none"/>
        </w:rPr>
        <w:t xml:space="preserve">nternational </w:t>
      </w:r>
      <w:r w:rsidRPr="00515EE9">
        <w:rPr>
          <w:rFonts w:ascii="Times New Roman" w:eastAsia="Times New Roman" w:hAnsi="Times New Roman" w:cs="Times New Roman"/>
          <w:kern w:val="0"/>
          <w:sz w:val="24"/>
          <w:szCs w:val="24"/>
          <w:lang w:eastAsia="en-GB"/>
          <w14:ligatures w14:val="none"/>
        </w:rPr>
        <w:t>H</w:t>
      </w:r>
      <w:r w:rsidR="00AA4811">
        <w:rPr>
          <w:rFonts w:ascii="Times New Roman" w:eastAsia="Times New Roman" w:hAnsi="Times New Roman" w:cs="Times New Roman"/>
          <w:kern w:val="0"/>
          <w:sz w:val="24"/>
          <w:szCs w:val="24"/>
          <w:lang w:eastAsia="en-GB"/>
          <w14:ligatures w14:val="none"/>
        </w:rPr>
        <w:t xml:space="preserve">olocaust </w:t>
      </w:r>
      <w:r w:rsidRPr="00515EE9">
        <w:rPr>
          <w:rFonts w:ascii="Times New Roman" w:eastAsia="Times New Roman" w:hAnsi="Times New Roman" w:cs="Times New Roman"/>
          <w:kern w:val="0"/>
          <w:sz w:val="24"/>
          <w:szCs w:val="24"/>
          <w:lang w:eastAsia="en-GB"/>
          <w14:ligatures w14:val="none"/>
        </w:rPr>
        <w:t>R</w:t>
      </w:r>
      <w:r w:rsidR="00AA4811">
        <w:rPr>
          <w:rFonts w:ascii="Times New Roman" w:eastAsia="Times New Roman" w:hAnsi="Times New Roman" w:cs="Times New Roman"/>
          <w:kern w:val="0"/>
          <w:sz w:val="24"/>
          <w:szCs w:val="24"/>
          <w:lang w:eastAsia="en-GB"/>
          <w14:ligatures w14:val="none"/>
        </w:rPr>
        <w:t xml:space="preserve">emembrance </w:t>
      </w:r>
      <w:r w:rsidRPr="00515EE9">
        <w:rPr>
          <w:rFonts w:ascii="Times New Roman" w:eastAsia="Times New Roman" w:hAnsi="Times New Roman" w:cs="Times New Roman"/>
          <w:kern w:val="0"/>
          <w:sz w:val="24"/>
          <w:szCs w:val="24"/>
          <w:lang w:eastAsia="en-GB"/>
          <w14:ligatures w14:val="none"/>
        </w:rPr>
        <w:t>A</w:t>
      </w:r>
      <w:r w:rsidR="00AA4811">
        <w:rPr>
          <w:rFonts w:ascii="Times New Roman" w:eastAsia="Times New Roman" w:hAnsi="Times New Roman" w:cs="Times New Roman"/>
          <w:kern w:val="0"/>
          <w:sz w:val="24"/>
          <w:szCs w:val="24"/>
          <w:lang w:eastAsia="en-GB"/>
          <w14:ligatures w14:val="none"/>
        </w:rPr>
        <w:t>lliance</w:t>
      </w:r>
      <w:r w:rsidRPr="00515EE9">
        <w:rPr>
          <w:rFonts w:ascii="Times New Roman" w:eastAsia="Times New Roman" w:hAnsi="Times New Roman" w:cs="Times New Roman"/>
          <w:kern w:val="0"/>
          <w:sz w:val="24"/>
          <w:szCs w:val="24"/>
          <w:lang w:eastAsia="en-GB"/>
          <w14:ligatures w14:val="none"/>
        </w:rPr>
        <w:t xml:space="preserve"> working definition, but it is incorporated </w:t>
      </w:r>
      <w:r w:rsidRPr="00515EE9">
        <w:rPr>
          <w:rFonts w:ascii="Times New Roman" w:eastAsia="Times New Roman" w:hAnsi="Times New Roman" w:cs="Times New Roman"/>
          <w:b/>
          <w:bCs/>
          <w:kern w:val="0"/>
          <w:sz w:val="24"/>
          <w:szCs w:val="24"/>
          <w:lang w:eastAsia="en-GB"/>
          <w14:ligatures w14:val="none"/>
        </w:rPr>
        <w:t>without contextual safeguards, without examples and without limiting criteria</w:t>
      </w:r>
      <w:r w:rsidRPr="00515EE9">
        <w:rPr>
          <w:rFonts w:ascii="Times New Roman" w:eastAsia="Times New Roman" w:hAnsi="Times New Roman" w:cs="Times New Roman"/>
          <w:kern w:val="0"/>
          <w:sz w:val="24"/>
          <w:szCs w:val="24"/>
          <w:lang w:eastAsia="en-GB"/>
          <w14:ligatures w14:val="none"/>
        </w:rPr>
        <w:t>, making it excessively broad and open to arbitrary interpretation.</w:t>
      </w:r>
    </w:p>
    <w:p w14:paraId="0E362D36"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The law further fails to define essential terms such as:</w:t>
      </w:r>
    </w:p>
    <w:p w14:paraId="4F7120CC"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“manifestation”,</w:t>
      </w:r>
    </w:p>
    <w:p w14:paraId="42040415"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“symbol”,</w:t>
      </w:r>
    </w:p>
    <w:p w14:paraId="2F1D6888"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“promotion”,</w:t>
      </w:r>
    </w:p>
    <w:p w14:paraId="163FE726"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“cult”,</w:t>
      </w:r>
    </w:p>
    <w:p w14:paraId="2C936A0F"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“radicalisation”,</w:t>
      </w:r>
    </w:p>
    <w:p w14:paraId="2E587F57" w14:textId="77777777" w:rsidR="00515EE9" w:rsidRPr="00515EE9" w:rsidRDefault="00515EE9" w:rsidP="00515EE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“extremism”,</w:t>
      </w:r>
    </w:p>
    <w:p w14:paraId="141A07CC"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even though these terms trigger </w:t>
      </w:r>
      <w:r w:rsidRPr="00515EE9">
        <w:rPr>
          <w:rFonts w:ascii="Times New Roman" w:eastAsia="Times New Roman" w:hAnsi="Times New Roman" w:cs="Times New Roman"/>
          <w:b/>
          <w:bCs/>
          <w:kern w:val="0"/>
          <w:sz w:val="24"/>
          <w:szCs w:val="24"/>
          <w:lang w:eastAsia="en-GB"/>
          <w14:ligatures w14:val="none"/>
        </w:rPr>
        <w:t>criminal liability</w:t>
      </w:r>
      <w:r w:rsidRPr="00515EE9">
        <w:rPr>
          <w:rFonts w:ascii="Times New Roman" w:eastAsia="Times New Roman" w:hAnsi="Times New Roman" w:cs="Times New Roman"/>
          <w:kern w:val="0"/>
          <w:sz w:val="24"/>
          <w:szCs w:val="24"/>
          <w:lang w:eastAsia="en-GB"/>
          <w14:ligatures w14:val="none"/>
        </w:rPr>
        <w:t>.</w:t>
      </w:r>
    </w:p>
    <w:p w14:paraId="45A9D2C2" w14:textId="77777777" w:rsidR="00515EE9" w:rsidRPr="00515EE9" w:rsidRDefault="00515EE9" w:rsidP="00AA48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The definition of </w:t>
      </w:r>
      <w:r w:rsidRPr="00515EE9">
        <w:rPr>
          <w:rFonts w:ascii="Times New Roman" w:eastAsia="Times New Roman" w:hAnsi="Times New Roman" w:cs="Times New Roman"/>
          <w:b/>
          <w:bCs/>
          <w:kern w:val="0"/>
          <w:sz w:val="24"/>
          <w:szCs w:val="24"/>
          <w:lang w:eastAsia="en-GB"/>
          <w14:ligatures w14:val="none"/>
        </w:rPr>
        <w:t>fascism</w:t>
      </w:r>
      <w:r w:rsidRPr="00515EE9">
        <w:rPr>
          <w:rFonts w:ascii="Times New Roman" w:eastAsia="Times New Roman" w:hAnsi="Times New Roman" w:cs="Times New Roman"/>
          <w:kern w:val="0"/>
          <w:sz w:val="24"/>
          <w:szCs w:val="24"/>
          <w:lang w:eastAsia="en-GB"/>
          <w14:ligatures w14:val="none"/>
        </w:rPr>
        <w:t xml:space="preserve"> is formulated in historical</w:t>
      </w:r>
      <w:r w:rsidRPr="00515EE9">
        <w:rPr>
          <w:rFonts w:ascii="Times New Roman" w:eastAsia="Times New Roman" w:hAnsi="Times New Roman" w:cs="Times New Roman"/>
          <w:kern w:val="0"/>
          <w:sz w:val="24"/>
          <w:szCs w:val="24"/>
          <w:lang w:eastAsia="en-GB"/>
          <w14:ligatures w14:val="none"/>
        </w:rPr>
        <w:noBreakHyphen/>
        <w:t xml:space="preserve">political terms rather than legal terms, while the concept of </w:t>
      </w:r>
      <w:r w:rsidRPr="00515EE9">
        <w:rPr>
          <w:rFonts w:ascii="Times New Roman" w:eastAsia="Times New Roman" w:hAnsi="Times New Roman" w:cs="Times New Roman"/>
          <w:b/>
          <w:bCs/>
          <w:kern w:val="0"/>
          <w:sz w:val="24"/>
          <w:szCs w:val="24"/>
          <w:lang w:eastAsia="en-GB"/>
          <w14:ligatures w14:val="none"/>
        </w:rPr>
        <w:t>extremism</w:t>
      </w:r>
      <w:r w:rsidRPr="00515EE9">
        <w:rPr>
          <w:rFonts w:ascii="Times New Roman" w:eastAsia="Times New Roman" w:hAnsi="Times New Roman" w:cs="Times New Roman"/>
          <w:kern w:val="0"/>
          <w:sz w:val="24"/>
          <w:szCs w:val="24"/>
          <w:lang w:eastAsia="en-GB"/>
          <w14:ligatures w14:val="none"/>
        </w:rPr>
        <w:t xml:space="preserve"> — although sanctioned with severe penalties — is </w:t>
      </w:r>
      <w:r w:rsidRPr="00515EE9">
        <w:rPr>
          <w:rFonts w:ascii="Times New Roman" w:eastAsia="Times New Roman" w:hAnsi="Times New Roman" w:cs="Times New Roman"/>
          <w:b/>
          <w:bCs/>
          <w:kern w:val="0"/>
          <w:sz w:val="24"/>
          <w:szCs w:val="24"/>
          <w:lang w:eastAsia="en-GB"/>
          <w14:ligatures w14:val="none"/>
        </w:rPr>
        <w:t>not defined at all</w:t>
      </w:r>
      <w:r w:rsidRPr="00515EE9">
        <w:rPr>
          <w:rFonts w:ascii="Times New Roman" w:eastAsia="Times New Roman" w:hAnsi="Times New Roman" w:cs="Times New Roman"/>
          <w:kern w:val="0"/>
          <w:sz w:val="24"/>
          <w:szCs w:val="24"/>
          <w:lang w:eastAsia="en-GB"/>
          <w14:ligatures w14:val="none"/>
        </w:rPr>
        <w:t xml:space="preserve">. The definition of </w:t>
      </w:r>
      <w:r w:rsidRPr="00515EE9">
        <w:rPr>
          <w:rFonts w:ascii="Times New Roman" w:eastAsia="Times New Roman" w:hAnsi="Times New Roman" w:cs="Times New Roman"/>
          <w:b/>
          <w:bCs/>
          <w:kern w:val="0"/>
          <w:sz w:val="24"/>
          <w:szCs w:val="24"/>
          <w:lang w:eastAsia="en-GB"/>
          <w14:ligatures w14:val="none"/>
        </w:rPr>
        <w:t>hate speech</w:t>
      </w:r>
      <w:r w:rsidRPr="00515EE9">
        <w:rPr>
          <w:rFonts w:ascii="Times New Roman" w:eastAsia="Times New Roman" w:hAnsi="Times New Roman" w:cs="Times New Roman"/>
          <w:kern w:val="0"/>
          <w:sz w:val="24"/>
          <w:szCs w:val="24"/>
          <w:lang w:eastAsia="en-GB"/>
          <w14:ligatures w14:val="none"/>
        </w:rPr>
        <w:t xml:space="preserve"> is broader than the standard applied by the European Court of Human Rights, which requires incitement to violence, hostility or discrimination of a certain gravity.</w:t>
      </w:r>
    </w:p>
    <w:p w14:paraId="0EE031CC" w14:textId="1485FF3C" w:rsidR="00515EE9" w:rsidRPr="00515EE9" w:rsidRDefault="00515EE9"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631146">
        <w:rPr>
          <w:rFonts w:ascii="Times New Roman" w:hAnsi="Times New Roman" w:cs="Times New Roman"/>
          <w:sz w:val="24"/>
          <w:szCs w:val="24"/>
        </w:rPr>
        <w:lastRenderedPageBreak/>
        <w:t>As a result, the law does not provide individuals with sufficient clarity to foresee which forms of expression are prohibited, thereby failing to satisfy the Convention’s requirements of legality, foreseeability and legal certainty.</w:t>
      </w:r>
    </w:p>
    <w:p w14:paraId="3A6B817F" w14:textId="77777777" w:rsidR="00515EE9" w:rsidRPr="00515EE9" w:rsidRDefault="00515EE9" w:rsidP="00631146">
      <w:pPr>
        <w:spacing w:before="100" w:beforeAutospacing="1" w:after="100" w:afterAutospacing="1" w:line="240" w:lineRule="auto"/>
        <w:jc w:val="both"/>
        <w:outlineLvl w:val="3"/>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b. Risk of imposing an official version of history</w:t>
      </w:r>
    </w:p>
    <w:p w14:paraId="4953A86C" w14:textId="77777777" w:rsidR="00515EE9" w:rsidRPr="00515EE9" w:rsidRDefault="00515EE9"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By restricting or penalising certain forms of historical interpretation or critical analysis, the law risks imposing a </w:t>
      </w:r>
      <w:r w:rsidRPr="00515EE9">
        <w:rPr>
          <w:rFonts w:ascii="Times New Roman" w:eastAsia="Times New Roman" w:hAnsi="Times New Roman" w:cs="Times New Roman"/>
          <w:b/>
          <w:bCs/>
          <w:kern w:val="0"/>
          <w:sz w:val="24"/>
          <w:szCs w:val="24"/>
          <w:lang w:eastAsia="en-GB"/>
          <w14:ligatures w14:val="none"/>
        </w:rPr>
        <w:t>state</w:t>
      </w:r>
      <w:r w:rsidRPr="00515EE9">
        <w:rPr>
          <w:rFonts w:ascii="Times New Roman" w:eastAsia="Times New Roman" w:hAnsi="Times New Roman" w:cs="Times New Roman"/>
          <w:b/>
          <w:bCs/>
          <w:kern w:val="0"/>
          <w:sz w:val="24"/>
          <w:szCs w:val="24"/>
          <w:lang w:eastAsia="en-GB"/>
          <w14:ligatures w14:val="none"/>
        </w:rPr>
        <w:noBreakHyphen/>
        <w:t>endorsed historical narrative</w:t>
      </w:r>
      <w:r w:rsidRPr="00515EE9">
        <w:rPr>
          <w:rFonts w:ascii="Times New Roman" w:eastAsia="Times New Roman" w:hAnsi="Times New Roman" w:cs="Times New Roman"/>
          <w:kern w:val="0"/>
          <w:sz w:val="24"/>
          <w:szCs w:val="24"/>
          <w:lang w:eastAsia="en-GB"/>
          <w14:ligatures w14:val="none"/>
        </w:rPr>
        <w:t>, contrary to ECtHR jurisprudence, which consistently holds that:</w:t>
      </w:r>
    </w:p>
    <w:p w14:paraId="2971156C" w14:textId="77777777" w:rsidR="00515EE9" w:rsidRPr="00515EE9" w:rsidRDefault="00515EE9" w:rsidP="00631146">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the State must not prescribe an official version of history;</w:t>
      </w:r>
    </w:p>
    <w:p w14:paraId="724F9012" w14:textId="77777777" w:rsidR="00515EE9" w:rsidRPr="00515EE9" w:rsidRDefault="00515EE9" w:rsidP="00631146">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historical debate is protected speech;</w:t>
      </w:r>
    </w:p>
    <w:p w14:paraId="7156F973" w14:textId="77777777" w:rsidR="00515EE9" w:rsidRPr="00515EE9" w:rsidRDefault="00515EE9" w:rsidP="00631146">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academic freedom is essential in a democratic society.</w:t>
      </w:r>
    </w:p>
    <w:p w14:paraId="30AC94CF" w14:textId="77777777" w:rsidR="00515EE9" w:rsidRPr="00515EE9" w:rsidRDefault="00515EE9"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This may prevent historians, writers, researchers and cultural figures — many of whom form the core of Romanian cultural identity — from engaging in legitimate scholarly debate.</w:t>
      </w:r>
    </w:p>
    <w:p w14:paraId="3D3C2CB5" w14:textId="77777777" w:rsidR="00515EE9" w:rsidRPr="00515EE9" w:rsidRDefault="00515EE9" w:rsidP="00515EE9">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c. Restriction of cultural and national identity</w:t>
      </w:r>
    </w:p>
    <w:p w14:paraId="488BEEB3"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The law may criminalise expressions that are:</w:t>
      </w:r>
    </w:p>
    <w:p w14:paraId="3B5125CA" w14:textId="77777777" w:rsidR="00515EE9" w:rsidRPr="00515EE9" w:rsidRDefault="00515EE9" w:rsidP="00515EE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patriotic,</w:t>
      </w:r>
    </w:p>
    <w:p w14:paraId="33238B47" w14:textId="77777777" w:rsidR="00515EE9" w:rsidRPr="00515EE9" w:rsidRDefault="00515EE9" w:rsidP="00515EE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symbolic,</w:t>
      </w:r>
    </w:p>
    <w:p w14:paraId="75A2F4E9" w14:textId="77777777" w:rsidR="00515EE9" w:rsidRPr="00515EE9" w:rsidRDefault="00515EE9" w:rsidP="00515EE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cultural,</w:t>
      </w:r>
    </w:p>
    <w:p w14:paraId="079A91D9" w14:textId="77777777" w:rsidR="00515EE9" w:rsidRPr="00515EE9" w:rsidRDefault="00515EE9" w:rsidP="00515EE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identity</w:t>
      </w:r>
      <w:r w:rsidRPr="00515EE9">
        <w:rPr>
          <w:rFonts w:ascii="Times New Roman" w:eastAsia="Times New Roman" w:hAnsi="Times New Roman" w:cs="Times New Roman"/>
          <w:kern w:val="0"/>
          <w:sz w:val="24"/>
          <w:szCs w:val="24"/>
          <w:lang w:eastAsia="en-GB"/>
          <w14:ligatures w14:val="none"/>
        </w:rPr>
        <w:noBreakHyphen/>
        <w:t>affirming,</w:t>
      </w:r>
    </w:p>
    <w:p w14:paraId="4FD9E768"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even when they </w:t>
      </w:r>
      <w:r w:rsidRPr="00515EE9">
        <w:rPr>
          <w:rFonts w:ascii="Times New Roman" w:eastAsia="Times New Roman" w:hAnsi="Times New Roman" w:cs="Times New Roman"/>
          <w:b/>
          <w:bCs/>
          <w:kern w:val="0"/>
          <w:sz w:val="24"/>
          <w:szCs w:val="24"/>
          <w:lang w:eastAsia="en-GB"/>
          <w14:ligatures w14:val="none"/>
        </w:rPr>
        <w:t>do not incite hatred, discrimination or violence</w:t>
      </w:r>
      <w:r w:rsidRPr="00515EE9">
        <w:rPr>
          <w:rFonts w:ascii="Times New Roman" w:eastAsia="Times New Roman" w:hAnsi="Times New Roman" w:cs="Times New Roman"/>
          <w:kern w:val="0"/>
          <w:sz w:val="24"/>
          <w:szCs w:val="24"/>
          <w:lang w:eastAsia="en-GB"/>
          <w14:ligatures w14:val="none"/>
        </w:rPr>
        <w:t>.</w:t>
      </w:r>
    </w:p>
    <w:p w14:paraId="758F55BF"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ECtHR protects symbolic and identity</w:t>
      </w:r>
      <w:r w:rsidRPr="00515EE9">
        <w:rPr>
          <w:rFonts w:ascii="Times New Roman" w:eastAsia="Times New Roman" w:hAnsi="Times New Roman" w:cs="Times New Roman"/>
          <w:kern w:val="0"/>
          <w:sz w:val="24"/>
          <w:szCs w:val="24"/>
          <w:lang w:eastAsia="en-GB"/>
          <w14:ligatures w14:val="none"/>
        </w:rPr>
        <w:noBreakHyphen/>
        <w:t>based expression unless it crosses the threshold of hate speech. Law No. 241/2025 does not distinguish between:</w:t>
      </w:r>
    </w:p>
    <w:p w14:paraId="16D97FD8" w14:textId="77777777" w:rsidR="00515EE9" w:rsidRPr="00515EE9" w:rsidRDefault="00515EE9" w:rsidP="00515EE9">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hostile manifestations, and</w:t>
      </w:r>
    </w:p>
    <w:p w14:paraId="310A33E6" w14:textId="77777777" w:rsidR="00515EE9" w:rsidRPr="00515EE9" w:rsidRDefault="00515EE9" w:rsidP="00515EE9">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benign expressions of national identity.</w:t>
      </w:r>
    </w:p>
    <w:p w14:paraId="77756DD9" w14:textId="77777777" w:rsidR="00515EE9" w:rsidRPr="00515EE9" w:rsidRDefault="00515EE9" w:rsidP="00515EE9">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d. Discriminatory protection and unequal treatment</w:t>
      </w:r>
    </w:p>
    <w:p w14:paraId="6F04273F" w14:textId="4066BBC5"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Existing Romanian legislation already prohibits racism and </w:t>
      </w:r>
      <w:r w:rsidR="00AA4811" w:rsidRPr="00515EE9">
        <w:rPr>
          <w:rFonts w:ascii="Times New Roman" w:eastAsia="Times New Roman" w:hAnsi="Times New Roman" w:cs="Times New Roman"/>
          <w:kern w:val="0"/>
          <w:sz w:val="24"/>
          <w:szCs w:val="24"/>
          <w:lang w:eastAsia="en-GB"/>
          <w14:ligatures w14:val="none"/>
        </w:rPr>
        <w:t>hates</w:t>
      </w:r>
      <w:r w:rsidRPr="00515EE9">
        <w:rPr>
          <w:rFonts w:ascii="Times New Roman" w:eastAsia="Times New Roman" w:hAnsi="Times New Roman" w:cs="Times New Roman"/>
          <w:kern w:val="0"/>
          <w:sz w:val="24"/>
          <w:szCs w:val="24"/>
          <w:lang w:eastAsia="en-GB"/>
          <w14:ligatures w14:val="none"/>
        </w:rPr>
        <w:t xml:space="preserve"> speech and protects </w:t>
      </w:r>
      <w:r w:rsidRPr="00515EE9">
        <w:rPr>
          <w:rFonts w:ascii="Times New Roman" w:eastAsia="Times New Roman" w:hAnsi="Times New Roman" w:cs="Times New Roman"/>
          <w:b/>
          <w:bCs/>
          <w:kern w:val="0"/>
          <w:sz w:val="24"/>
          <w:szCs w:val="24"/>
          <w:lang w:eastAsia="en-GB"/>
          <w14:ligatures w14:val="none"/>
        </w:rPr>
        <w:t>all minorities equally</w:t>
      </w:r>
      <w:r w:rsidRPr="00515EE9">
        <w:rPr>
          <w:rFonts w:ascii="Times New Roman" w:eastAsia="Times New Roman" w:hAnsi="Times New Roman" w:cs="Times New Roman"/>
          <w:kern w:val="0"/>
          <w:sz w:val="24"/>
          <w:szCs w:val="24"/>
          <w:lang w:eastAsia="en-GB"/>
          <w14:ligatures w14:val="none"/>
        </w:rPr>
        <w:t>.</w:t>
      </w:r>
    </w:p>
    <w:p w14:paraId="0D62A130" w14:textId="663ED07D"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Law No. 241/2025 introduces a </w:t>
      </w:r>
      <w:r w:rsidRPr="00515EE9">
        <w:rPr>
          <w:rFonts w:ascii="Times New Roman" w:eastAsia="Times New Roman" w:hAnsi="Times New Roman" w:cs="Times New Roman"/>
          <w:b/>
          <w:bCs/>
          <w:kern w:val="0"/>
          <w:sz w:val="24"/>
          <w:szCs w:val="24"/>
          <w:lang w:eastAsia="en-GB"/>
          <w14:ligatures w14:val="none"/>
        </w:rPr>
        <w:t>distinct and privileged category of protection</w:t>
      </w:r>
      <w:r w:rsidRPr="00515EE9">
        <w:rPr>
          <w:rFonts w:ascii="Times New Roman" w:eastAsia="Times New Roman" w:hAnsi="Times New Roman" w:cs="Times New Roman"/>
          <w:kern w:val="0"/>
          <w:sz w:val="24"/>
          <w:szCs w:val="24"/>
          <w:lang w:eastAsia="en-GB"/>
          <w14:ligatures w14:val="none"/>
        </w:rPr>
        <w:t xml:space="preserve"> for certain groups, without providing equivalent safeguards for expressions targeting the Romanian majority. </w:t>
      </w:r>
      <w:r w:rsidR="00631146" w:rsidRPr="00515EE9">
        <w:rPr>
          <w:rFonts w:ascii="Times New Roman" w:eastAsia="Times New Roman" w:hAnsi="Times New Roman" w:cs="Times New Roman"/>
          <w:kern w:val="0"/>
          <w:sz w:val="24"/>
          <w:szCs w:val="24"/>
          <w:lang w:eastAsia="en-GB"/>
          <w14:ligatures w14:val="none"/>
        </w:rPr>
        <w:t>This</w:t>
      </w:r>
      <w:r w:rsidR="00631146">
        <w:rPr>
          <w:rFonts w:ascii="Times New Roman" w:eastAsia="Times New Roman" w:hAnsi="Times New Roman" w:cs="Times New Roman"/>
          <w:kern w:val="0"/>
          <w:sz w:val="24"/>
          <w:szCs w:val="24"/>
          <w:lang w:eastAsia="en-GB"/>
          <w14:ligatures w14:val="none"/>
        </w:rPr>
        <w:t xml:space="preserve"> </w:t>
      </w:r>
      <w:r w:rsidR="00631146" w:rsidRPr="00515EE9">
        <w:rPr>
          <w:rFonts w:ascii="Times New Roman" w:eastAsia="Times New Roman" w:hAnsi="Times New Roman" w:cs="Times New Roman"/>
          <w:kern w:val="0"/>
          <w:sz w:val="24"/>
          <w:szCs w:val="24"/>
          <w:lang w:eastAsia="en-GB"/>
          <w14:ligatures w14:val="none"/>
        </w:rPr>
        <w:t>raise</w:t>
      </w:r>
      <w:r w:rsidRPr="00515EE9">
        <w:rPr>
          <w:rFonts w:ascii="Times New Roman" w:eastAsia="Times New Roman" w:hAnsi="Times New Roman" w:cs="Times New Roman"/>
          <w:kern w:val="0"/>
          <w:sz w:val="24"/>
          <w:szCs w:val="24"/>
          <w:lang w:eastAsia="en-GB"/>
          <w14:ligatures w14:val="none"/>
        </w:rPr>
        <w:t xml:space="preserve"> concerns regarding:</w:t>
      </w:r>
    </w:p>
    <w:p w14:paraId="1BCE6750" w14:textId="77777777" w:rsidR="00515EE9" w:rsidRPr="00515EE9" w:rsidRDefault="00515EE9" w:rsidP="00515EE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equality before the law,</w:t>
      </w:r>
    </w:p>
    <w:p w14:paraId="585E165E" w14:textId="77777777" w:rsidR="00515EE9" w:rsidRPr="00515EE9" w:rsidRDefault="00515EE9" w:rsidP="00515EE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non</w:t>
      </w:r>
      <w:r w:rsidRPr="00515EE9">
        <w:rPr>
          <w:rFonts w:ascii="Times New Roman" w:eastAsia="Times New Roman" w:hAnsi="Times New Roman" w:cs="Times New Roman"/>
          <w:kern w:val="0"/>
          <w:sz w:val="24"/>
          <w:szCs w:val="24"/>
          <w:lang w:eastAsia="en-GB"/>
          <w14:ligatures w14:val="none"/>
        </w:rPr>
        <w:noBreakHyphen/>
        <w:t>discrimination,</w:t>
      </w:r>
    </w:p>
    <w:p w14:paraId="2C8CF7BB" w14:textId="77777777" w:rsidR="00515EE9" w:rsidRPr="00515EE9" w:rsidRDefault="00515EE9" w:rsidP="00515EE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proportionality.</w:t>
      </w:r>
    </w:p>
    <w:p w14:paraId="68D24962" w14:textId="77777777" w:rsidR="00515EE9" w:rsidRPr="00515EE9" w:rsidRDefault="00515EE9" w:rsidP="00515EE9">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e. Disproportionate use of criminal sanctions</w:t>
      </w:r>
    </w:p>
    <w:p w14:paraId="665610B0"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The law relies heavily on </w:t>
      </w:r>
      <w:r w:rsidRPr="00515EE9">
        <w:rPr>
          <w:rFonts w:ascii="Times New Roman" w:eastAsia="Times New Roman" w:hAnsi="Times New Roman" w:cs="Times New Roman"/>
          <w:b/>
          <w:bCs/>
          <w:kern w:val="0"/>
          <w:sz w:val="24"/>
          <w:szCs w:val="24"/>
          <w:lang w:eastAsia="en-GB"/>
          <w14:ligatures w14:val="none"/>
        </w:rPr>
        <w:t>criminal penalties</w:t>
      </w:r>
      <w:r w:rsidRPr="00515EE9">
        <w:rPr>
          <w:rFonts w:ascii="Times New Roman" w:eastAsia="Times New Roman" w:hAnsi="Times New Roman" w:cs="Times New Roman"/>
          <w:kern w:val="0"/>
          <w:sz w:val="24"/>
          <w:szCs w:val="24"/>
          <w:lang w:eastAsia="en-GB"/>
          <w14:ligatures w14:val="none"/>
        </w:rPr>
        <w:t>, even for expressions that:</w:t>
      </w:r>
    </w:p>
    <w:p w14:paraId="0ECB12D9" w14:textId="77777777" w:rsidR="00515EE9" w:rsidRPr="00515EE9" w:rsidRDefault="00515EE9" w:rsidP="00515EE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lastRenderedPageBreak/>
        <w:t>do not incite hatred,</w:t>
      </w:r>
    </w:p>
    <w:p w14:paraId="1F9EB952" w14:textId="77777777" w:rsidR="00515EE9" w:rsidRPr="00515EE9" w:rsidRDefault="00515EE9" w:rsidP="00515EE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do not threaten public order,</w:t>
      </w:r>
    </w:p>
    <w:p w14:paraId="273831E4" w14:textId="77777777" w:rsidR="00515EE9" w:rsidRPr="00515EE9" w:rsidRDefault="00515EE9" w:rsidP="00515EE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do not target any protected group.</w:t>
      </w:r>
    </w:p>
    <w:p w14:paraId="31DECD06" w14:textId="77777777" w:rsidR="00515EE9" w:rsidRPr="00515EE9" w:rsidRDefault="00515EE9" w:rsidP="00515EE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 xml:space="preserve">Criminal law must remain a measure of </w:t>
      </w:r>
      <w:r w:rsidRPr="00515EE9">
        <w:rPr>
          <w:rFonts w:ascii="Times New Roman" w:eastAsia="Times New Roman" w:hAnsi="Times New Roman" w:cs="Times New Roman"/>
          <w:b/>
          <w:bCs/>
          <w:kern w:val="0"/>
          <w:sz w:val="24"/>
          <w:szCs w:val="24"/>
          <w:lang w:eastAsia="en-GB"/>
          <w14:ligatures w14:val="none"/>
        </w:rPr>
        <w:t>ultima ratio</w:t>
      </w:r>
      <w:r w:rsidRPr="00515EE9">
        <w:rPr>
          <w:rFonts w:ascii="Times New Roman" w:eastAsia="Times New Roman" w:hAnsi="Times New Roman" w:cs="Times New Roman"/>
          <w:kern w:val="0"/>
          <w:sz w:val="24"/>
          <w:szCs w:val="24"/>
          <w:lang w:eastAsia="en-GB"/>
          <w14:ligatures w14:val="none"/>
        </w:rPr>
        <w:t>, as repeatedly affirmed by ECtHR. Law No. 241/2025 does not demonstrate necessity or proportionality.</w:t>
      </w:r>
    </w:p>
    <w:p w14:paraId="019A4236" w14:textId="77777777" w:rsidR="00515EE9" w:rsidRPr="00515EE9" w:rsidRDefault="00515EE9" w:rsidP="00515EE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4. Relevant ECtHR standards</w:t>
      </w:r>
    </w:p>
    <w:p w14:paraId="74681CC9" w14:textId="77777777" w:rsidR="00631146" w:rsidRDefault="00515EE9" w:rsidP="00631146">
      <w:pPr>
        <w:pStyle w:val="NormalWeb"/>
        <w:jc w:val="both"/>
        <w:rPr>
          <w14:ligatures w14:val="none"/>
        </w:rPr>
      </w:pPr>
      <w:r w:rsidRPr="00515EE9">
        <w:rPr>
          <w14:ligatures w14:val="none"/>
        </w:rPr>
        <w:t xml:space="preserve">The European Court of Human Rights </w:t>
      </w:r>
      <w:r w:rsidR="00445F61">
        <w:rPr>
          <w14:ligatures w14:val="none"/>
        </w:rPr>
        <w:t>consistently held that freedom of expression protects not only favourable or neutral ideas, but also those that “offend, shock or disturb “, and that States must not impose a mandatory interpretation of history. Academic freedom, symbolic expression and historical debate enjoy enhanced protection, and criminal sanctions must remain a measure of ultima ratio. Restriction</w:t>
      </w:r>
      <w:r w:rsidR="00E502F2">
        <w:rPr>
          <w14:ligatures w14:val="none"/>
        </w:rPr>
        <w:t>s</w:t>
      </w:r>
      <w:r w:rsidR="00445F61">
        <w:rPr>
          <w14:ligatures w14:val="none"/>
        </w:rPr>
        <w:t xml:space="preserve"> must be clear, foreseeable, necessary </w:t>
      </w:r>
      <w:r w:rsidR="00E502F2">
        <w:rPr>
          <w14:ligatures w14:val="none"/>
        </w:rPr>
        <w:t xml:space="preserve">and </w:t>
      </w:r>
    </w:p>
    <w:p w14:paraId="63D85DA9" w14:textId="4BE6E83C" w:rsidR="00E502F2" w:rsidRPr="00E502F2" w:rsidRDefault="00E502F2" w:rsidP="00E502F2">
      <w:pPr>
        <w:pStyle w:val="NormalWeb"/>
        <w:rPr>
          <w14:ligatures w14:val="none"/>
        </w:rPr>
      </w:pPr>
      <w:r w:rsidRPr="00E502F2">
        <w:rPr>
          <w:b/>
          <w:bCs/>
          <w14:ligatures w14:val="none"/>
        </w:rPr>
        <w:t>Relevant ECtHR case law includes:</w:t>
      </w:r>
    </w:p>
    <w:p w14:paraId="7E8E0690" w14:textId="6E51E004"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roofErr w:type="spellStart"/>
      <w:r w:rsidRPr="00E502F2">
        <w:rPr>
          <w:rFonts w:ascii="Times New Roman" w:eastAsia="Times New Roman" w:hAnsi="Times New Roman" w:cs="Times New Roman"/>
          <w:b/>
          <w:bCs/>
          <w:kern w:val="0"/>
          <w:sz w:val="24"/>
          <w:szCs w:val="24"/>
          <w:lang w:eastAsia="en-GB"/>
          <w14:ligatures w14:val="none"/>
        </w:rPr>
        <w:t>Perinçek</w:t>
      </w:r>
      <w:proofErr w:type="spellEnd"/>
      <w:r w:rsidRPr="00E502F2">
        <w:rPr>
          <w:rFonts w:ascii="Times New Roman" w:eastAsia="Times New Roman" w:hAnsi="Times New Roman" w:cs="Times New Roman"/>
          <w:b/>
          <w:bCs/>
          <w:kern w:val="0"/>
          <w:sz w:val="24"/>
          <w:szCs w:val="24"/>
          <w:lang w:eastAsia="en-GB"/>
          <w14:ligatures w14:val="none"/>
        </w:rPr>
        <w:t xml:space="preserve"> v. Switzerland (GC, 2015)</w:t>
      </w:r>
      <w:r w:rsidRPr="00E502F2">
        <w:rPr>
          <w:rFonts w:ascii="Times New Roman" w:eastAsia="Times New Roman" w:hAnsi="Times New Roman" w:cs="Times New Roman"/>
          <w:kern w:val="0"/>
          <w:sz w:val="24"/>
          <w:szCs w:val="24"/>
          <w:lang w:eastAsia="en-GB"/>
          <w14:ligatures w14:val="none"/>
        </w:rPr>
        <w:t xml:space="preserve"> – The State may not impose an official version of history; criminal sanctions for historical interpretation violate Article 10 unless there is incitement to hatred or violence.</w:t>
      </w:r>
    </w:p>
    <w:p w14:paraId="299ED147"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Vajnai v. Hungary (2008)</w:t>
      </w:r>
      <w:r w:rsidRPr="00E502F2">
        <w:rPr>
          <w:rFonts w:ascii="Times New Roman" w:eastAsia="Times New Roman" w:hAnsi="Times New Roman" w:cs="Times New Roman"/>
          <w:kern w:val="0"/>
          <w:sz w:val="24"/>
          <w:szCs w:val="24"/>
          <w:lang w:eastAsia="en-GB"/>
          <w14:ligatures w14:val="none"/>
        </w:rPr>
        <w:t xml:space="preserve"> – Blanket bans on historical or political symbols are disproportionate; context must be assessed.</w:t>
      </w:r>
    </w:p>
    <w:p w14:paraId="4CCF5A26"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roofErr w:type="spellStart"/>
      <w:r w:rsidRPr="00E502F2">
        <w:rPr>
          <w:rFonts w:ascii="Times New Roman" w:eastAsia="Times New Roman" w:hAnsi="Times New Roman" w:cs="Times New Roman"/>
          <w:b/>
          <w:bCs/>
          <w:kern w:val="0"/>
          <w:sz w:val="24"/>
          <w:szCs w:val="24"/>
          <w:lang w:eastAsia="en-GB"/>
          <w14:ligatures w14:val="none"/>
        </w:rPr>
        <w:t>Fratanoló</w:t>
      </w:r>
      <w:proofErr w:type="spellEnd"/>
      <w:r w:rsidRPr="00E502F2">
        <w:rPr>
          <w:rFonts w:ascii="Times New Roman" w:eastAsia="Times New Roman" w:hAnsi="Times New Roman" w:cs="Times New Roman"/>
          <w:b/>
          <w:bCs/>
          <w:kern w:val="0"/>
          <w:sz w:val="24"/>
          <w:szCs w:val="24"/>
          <w:lang w:eastAsia="en-GB"/>
          <w14:ligatures w14:val="none"/>
        </w:rPr>
        <w:t xml:space="preserve"> v. Hungary (2011)</w:t>
      </w:r>
      <w:r w:rsidRPr="00E502F2">
        <w:rPr>
          <w:rFonts w:ascii="Times New Roman" w:eastAsia="Times New Roman" w:hAnsi="Times New Roman" w:cs="Times New Roman"/>
          <w:kern w:val="0"/>
          <w:sz w:val="24"/>
          <w:szCs w:val="24"/>
          <w:lang w:eastAsia="en-GB"/>
          <w14:ligatures w14:val="none"/>
        </w:rPr>
        <w:t xml:space="preserve"> – Reaffirms Vajnai; symbolic expression is protected unless it incites hatred.</w:t>
      </w:r>
    </w:p>
    <w:p w14:paraId="49C236FA"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Şener v. Turkey (2000)</w:t>
      </w:r>
      <w:r w:rsidRPr="00E502F2">
        <w:rPr>
          <w:rFonts w:ascii="Times New Roman" w:eastAsia="Times New Roman" w:hAnsi="Times New Roman" w:cs="Times New Roman"/>
          <w:kern w:val="0"/>
          <w:sz w:val="24"/>
          <w:szCs w:val="24"/>
          <w:lang w:eastAsia="en-GB"/>
          <w14:ligatures w14:val="none"/>
        </w:rPr>
        <w:t xml:space="preserve"> – Criminal sanctions for political or historical commentary breach Article 10.</w:t>
      </w:r>
    </w:p>
    <w:p w14:paraId="3AC3E020"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Fatullayev v. Azerbaijan (2010)</w:t>
      </w:r>
      <w:r w:rsidRPr="00E502F2">
        <w:rPr>
          <w:rFonts w:ascii="Times New Roman" w:eastAsia="Times New Roman" w:hAnsi="Times New Roman" w:cs="Times New Roman"/>
          <w:kern w:val="0"/>
          <w:sz w:val="24"/>
          <w:szCs w:val="24"/>
          <w:lang w:eastAsia="en-GB"/>
          <w14:ligatures w14:val="none"/>
        </w:rPr>
        <w:t xml:space="preserve"> – Punishing a journalist for historical interpretation violates freedom of expression.</w:t>
      </w:r>
    </w:p>
    <w:p w14:paraId="0779F429"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roofErr w:type="spellStart"/>
      <w:r w:rsidRPr="00E502F2">
        <w:rPr>
          <w:rFonts w:ascii="Times New Roman" w:eastAsia="Times New Roman" w:hAnsi="Times New Roman" w:cs="Times New Roman"/>
          <w:b/>
          <w:bCs/>
          <w:kern w:val="0"/>
          <w:sz w:val="24"/>
          <w:szCs w:val="24"/>
          <w:lang w:eastAsia="en-GB"/>
          <w14:ligatures w14:val="none"/>
        </w:rPr>
        <w:t>Giniewski</w:t>
      </w:r>
      <w:proofErr w:type="spellEnd"/>
      <w:r w:rsidRPr="00E502F2">
        <w:rPr>
          <w:rFonts w:ascii="Times New Roman" w:eastAsia="Times New Roman" w:hAnsi="Times New Roman" w:cs="Times New Roman"/>
          <w:b/>
          <w:bCs/>
          <w:kern w:val="0"/>
          <w:sz w:val="24"/>
          <w:szCs w:val="24"/>
          <w:lang w:eastAsia="en-GB"/>
          <w14:ligatures w14:val="none"/>
        </w:rPr>
        <w:t xml:space="preserve"> v. France (2006)</w:t>
      </w:r>
      <w:r w:rsidRPr="00E502F2">
        <w:rPr>
          <w:rFonts w:ascii="Times New Roman" w:eastAsia="Times New Roman" w:hAnsi="Times New Roman" w:cs="Times New Roman"/>
          <w:kern w:val="0"/>
          <w:sz w:val="24"/>
          <w:szCs w:val="24"/>
          <w:lang w:eastAsia="en-GB"/>
          <w14:ligatures w14:val="none"/>
        </w:rPr>
        <w:t xml:space="preserve"> – Criticism of religion or historical narratives is protected speech.</w:t>
      </w:r>
    </w:p>
    <w:p w14:paraId="6C9875C6"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Murat Vural v. Turkey (2014)</w:t>
      </w:r>
      <w:r w:rsidRPr="00E502F2">
        <w:rPr>
          <w:rFonts w:ascii="Times New Roman" w:eastAsia="Times New Roman" w:hAnsi="Times New Roman" w:cs="Times New Roman"/>
          <w:kern w:val="0"/>
          <w:sz w:val="24"/>
          <w:szCs w:val="24"/>
          <w:lang w:eastAsia="en-GB"/>
          <w14:ligatures w14:val="none"/>
        </w:rPr>
        <w:t xml:space="preserve"> – Severe criminal penalties for symbolic expression are disproportionate.</w:t>
      </w:r>
    </w:p>
    <w:p w14:paraId="7F8F6A3F" w14:textId="7254335E"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roofErr w:type="spellStart"/>
      <w:r w:rsidRPr="00E502F2">
        <w:rPr>
          <w:rFonts w:ascii="Times New Roman" w:eastAsia="Times New Roman" w:hAnsi="Times New Roman" w:cs="Times New Roman"/>
          <w:b/>
          <w:bCs/>
          <w:kern w:val="0"/>
          <w:sz w:val="24"/>
          <w:szCs w:val="24"/>
          <w:lang w:eastAsia="en-GB"/>
          <w14:ligatures w14:val="none"/>
        </w:rPr>
        <w:t>Sorguç</w:t>
      </w:r>
      <w:proofErr w:type="spellEnd"/>
      <w:r w:rsidRPr="00E502F2">
        <w:rPr>
          <w:rFonts w:ascii="Times New Roman" w:eastAsia="Times New Roman" w:hAnsi="Times New Roman" w:cs="Times New Roman"/>
          <w:b/>
          <w:bCs/>
          <w:kern w:val="0"/>
          <w:sz w:val="24"/>
          <w:szCs w:val="24"/>
          <w:lang w:eastAsia="en-GB"/>
          <w14:ligatures w14:val="none"/>
        </w:rPr>
        <w:t xml:space="preserve"> v. Turkey (2009)</w:t>
      </w:r>
      <w:r w:rsidRPr="00E502F2">
        <w:rPr>
          <w:rFonts w:ascii="Times New Roman" w:eastAsia="Times New Roman" w:hAnsi="Times New Roman" w:cs="Times New Roman"/>
          <w:kern w:val="0"/>
          <w:sz w:val="24"/>
          <w:szCs w:val="24"/>
          <w:lang w:eastAsia="en-GB"/>
          <w14:ligatures w14:val="none"/>
        </w:rPr>
        <w:t xml:space="preserve"> – Academic freedom is protected under Article 10</w:t>
      </w:r>
      <w:r w:rsidR="00DD055B">
        <w:rPr>
          <w:rFonts w:ascii="Times New Roman" w:eastAsia="Times New Roman" w:hAnsi="Times New Roman" w:cs="Times New Roman"/>
          <w:kern w:val="0"/>
          <w:sz w:val="24"/>
          <w:szCs w:val="24"/>
          <w:lang w:eastAsia="en-GB"/>
          <w14:ligatures w14:val="none"/>
        </w:rPr>
        <w:t xml:space="preserve"> </w:t>
      </w:r>
      <w:r w:rsidRPr="00E502F2">
        <w:rPr>
          <w:rFonts w:ascii="Times New Roman" w:eastAsia="Times New Roman" w:hAnsi="Times New Roman" w:cs="Times New Roman"/>
          <w:kern w:val="0"/>
          <w:sz w:val="24"/>
          <w:szCs w:val="24"/>
          <w:lang w:eastAsia="en-GB"/>
          <w14:ligatures w14:val="none"/>
        </w:rPr>
        <w:t>is protected under Article 10.</w:t>
      </w:r>
    </w:p>
    <w:p w14:paraId="3BEBF989"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Mustafa Erdoğan and Others v. Turkey (2004)</w:t>
      </w:r>
      <w:r w:rsidRPr="00E502F2">
        <w:rPr>
          <w:rFonts w:ascii="Times New Roman" w:eastAsia="Times New Roman" w:hAnsi="Times New Roman" w:cs="Times New Roman"/>
          <w:kern w:val="0"/>
          <w:sz w:val="24"/>
          <w:szCs w:val="24"/>
          <w:lang w:eastAsia="en-GB"/>
          <w14:ligatures w14:val="none"/>
        </w:rPr>
        <w:t xml:space="preserve"> – Academic criticism, even harsh, is protected.</w:t>
      </w:r>
    </w:p>
    <w:p w14:paraId="66D0BFFA" w14:textId="77777777" w:rsidR="00E502F2" w:rsidRP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D.H. and Others v. Czech Republic (GC, 2007)</w:t>
      </w:r>
      <w:r w:rsidRPr="00E502F2">
        <w:rPr>
          <w:rFonts w:ascii="Times New Roman" w:eastAsia="Times New Roman" w:hAnsi="Times New Roman" w:cs="Times New Roman"/>
          <w:kern w:val="0"/>
          <w:sz w:val="24"/>
          <w:szCs w:val="24"/>
          <w:lang w:eastAsia="en-GB"/>
          <w14:ligatures w14:val="none"/>
        </w:rPr>
        <w:t xml:space="preserve"> – Equality before the law; discriminatory protection is incompatible with the Convention.</w:t>
      </w:r>
    </w:p>
    <w:p w14:paraId="7161D766" w14:textId="77777777" w:rsidR="00E502F2" w:rsidRDefault="00E502F2" w:rsidP="00DD055B">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b/>
          <w:bCs/>
          <w:kern w:val="0"/>
          <w:sz w:val="24"/>
          <w:szCs w:val="24"/>
          <w:lang w:eastAsia="en-GB"/>
          <w14:ligatures w14:val="none"/>
        </w:rPr>
        <w:t xml:space="preserve">Sejdić and </w:t>
      </w:r>
      <w:proofErr w:type="spellStart"/>
      <w:r w:rsidRPr="00E502F2">
        <w:rPr>
          <w:rFonts w:ascii="Times New Roman" w:eastAsia="Times New Roman" w:hAnsi="Times New Roman" w:cs="Times New Roman"/>
          <w:b/>
          <w:bCs/>
          <w:kern w:val="0"/>
          <w:sz w:val="24"/>
          <w:szCs w:val="24"/>
          <w:lang w:eastAsia="en-GB"/>
          <w14:ligatures w14:val="none"/>
        </w:rPr>
        <w:t>Finci</w:t>
      </w:r>
      <w:proofErr w:type="spellEnd"/>
      <w:r w:rsidRPr="00E502F2">
        <w:rPr>
          <w:rFonts w:ascii="Times New Roman" w:eastAsia="Times New Roman" w:hAnsi="Times New Roman" w:cs="Times New Roman"/>
          <w:b/>
          <w:bCs/>
          <w:kern w:val="0"/>
          <w:sz w:val="24"/>
          <w:szCs w:val="24"/>
          <w:lang w:eastAsia="en-GB"/>
          <w14:ligatures w14:val="none"/>
        </w:rPr>
        <w:t xml:space="preserve"> v. Bosnia and Herzegovina (GC, 2009)</w:t>
      </w:r>
      <w:r w:rsidRPr="00E502F2">
        <w:rPr>
          <w:rFonts w:ascii="Times New Roman" w:eastAsia="Times New Roman" w:hAnsi="Times New Roman" w:cs="Times New Roman"/>
          <w:kern w:val="0"/>
          <w:sz w:val="24"/>
          <w:szCs w:val="24"/>
          <w:lang w:eastAsia="en-GB"/>
          <w14:ligatures w14:val="none"/>
        </w:rPr>
        <w:t xml:space="preserve"> – Structural discrimination violates the Convention.</w:t>
      </w:r>
    </w:p>
    <w:p w14:paraId="47BE90C7" w14:textId="57A3B7BE" w:rsidR="00C065FE" w:rsidRPr="00E502F2" w:rsidRDefault="00C065FE"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631146">
        <w:rPr>
          <w:rFonts w:ascii="Times New Roman" w:hAnsi="Times New Roman" w:cs="Times New Roman"/>
          <w:sz w:val="24"/>
          <w:szCs w:val="24"/>
        </w:rPr>
        <w:lastRenderedPageBreak/>
        <w:t xml:space="preserve">These cases confirm that the State may not impose an official version of history, that symbolic and academic expression enjoy enhanced protection, and that criminal sanctions must remain a measure of ultima ratio (see, inter alia, </w:t>
      </w:r>
      <w:proofErr w:type="spellStart"/>
      <w:r w:rsidRPr="00631146">
        <w:rPr>
          <w:rFonts w:ascii="Times New Roman" w:hAnsi="Times New Roman" w:cs="Times New Roman"/>
          <w:sz w:val="24"/>
          <w:szCs w:val="24"/>
        </w:rPr>
        <w:t>Perinçek</w:t>
      </w:r>
      <w:proofErr w:type="spellEnd"/>
      <w:r w:rsidRPr="00631146">
        <w:rPr>
          <w:rFonts w:ascii="Times New Roman" w:hAnsi="Times New Roman" w:cs="Times New Roman"/>
          <w:sz w:val="24"/>
          <w:szCs w:val="24"/>
        </w:rPr>
        <w:t xml:space="preserve"> v. Switzerland, GC, 2015; Vajnai v. Hungary, 2008; </w:t>
      </w:r>
      <w:proofErr w:type="spellStart"/>
      <w:r w:rsidRPr="00631146">
        <w:rPr>
          <w:rFonts w:ascii="Times New Roman" w:hAnsi="Times New Roman" w:cs="Times New Roman"/>
          <w:sz w:val="24"/>
          <w:szCs w:val="24"/>
        </w:rPr>
        <w:t>Fratanoló</w:t>
      </w:r>
      <w:proofErr w:type="spellEnd"/>
      <w:r w:rsidRPr="00631146">
        <w:rPr>
          <w:rFonts w:ascii="Times New Roman" w:hAnsi="Times New Roman" w:cs="Times New Roman"/>
          <w:sz w:val="24"/>
          <w:szCs w:val="24"/>
        </w:rPr>
        <w:t xml:space="preserve"> v. Hungary, 2011).</w:t>
      </w:r>
    </w:p>
    <w:p w14:paraId="2571DADD" w14:textId="32DAADA6" w:rsidR="003D36DB" w:rsidRPr="003D36DB" w:rsidRDefault="00E502F2"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502F2">
        <w:rPr>
          <w:rFonts w:ascii="Times New Roman" w:eastAsia="Times New Roman" w:hAnsi="Times New Roman" w:cs="Times New Roman"/>
          <w:kern w:val="0"/>
          <w:sz w:val="24"/>
          <w:szCs w:val="24"/>
          <w:lang w:eastAsia="en-GB"/>
          <w14:ligatures w14:val="none"/>
        </w:rPr>
        <w:t>These principles are directly relevant to Law No. 241/2025, which introduces broad and imprecise restrictions on historical, cultural and symbolic expression, relies heavily on criminal sanctions, and creates unequal protection between groups, raising serious concerns regarding compatibility with Article 10 ECHR.</w:t>
      </w:r>
    </w:p>
    <w:p w14:paraId="273EFDEA" w14:textId="77777777" w:rsidR="00515EE9" w:rsidRPr="00515EE9" w:rsidRDefault="00515EE9" w:rsidP="00515EE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15EE9">
        <w:rPr>
          <w:rFonts w:ascii="Times New Roman" w:eastAsia="Times New Roman" w:hAnsi="Times New Roman" w:cs="Times New Roman"/>
          <w:b/>
          <w:bCs/>
          <w:kern w:val="0"/>
          <w:sz w:val="24"/>
          <w:szCs w:val="24"/>
          <w:lang w:eastAsia="en-GB"/>
          <w14:ligatures w14:val="none"/>
        </w:rPr>
        <w:t>5. Conclusion</w:t>
      </w:r>
    </w:p>
    <w:p w14:paraId="369FB1FB" w14:textId="77777777" w:rsidR="00515EE9" w:rsidRPr="00515EE9" w:rsidRDefault="00515EE9" w:rsidP="0063114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15EE9">
        <w:rPr>
          <w:rFonts w:ascii="Times New Roman" w:eastAsia="Times New Roman" w:hAnsi="Times New Roman" w:cs="Times New Roman"/>
          <w:kern w:val="0"/>
          <w:sz w:val="24"/>
          <w:szCs w:val="24"/>
          <w:lang w:eastAsia="en-GB"/>
          <w14:ligatures w14:val="none"/>
        </w:rPr>
        <w:t>Given the breadth of the restrictions, the absence of clear definitions, the potential for discriminatory application, and the risk of suppressing legitimate historical, cultural and academic expression, Law No. 241/2025 raises serious concerns regarding its compatibility with Article 10 ECHR and with the Venice Commission’s standards on freedom of expression, academic debate and equality before the law.</w:t>
      </w:r>
    </w:p>
    <w:p w14:paraId="012FB927" w14:textId="77777777" w:rsidR="003D36DB" w:rsidRPr="003D36DB" w:rsidRDefault="003D36DB" w:rsidP="003D36D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17642D5" w14:textId="77777777" w:rsidR="005F40F4" w:rsidRDefault="005F40F4" w:rsidP="005F40F4"/>
    <w:sectPr w:rsidR="005F40F4">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90142" w14:textId="77777777" w:rsidR="00384215" w:rsidRDefault="00384215" w:rsidP="000914B3">
      <w:pPr>
        <w:spacing w:after="0" w:line="240" w:lineRule="auto"/>
      </w:pPr>
      <w:r>
        <w:separator/>
      </w:r>
    </w:p>
  </w:endnote>
  <w:endnote w:type="continuationSeparator" w:id="0">
    <w:p w14:paraId="5EB97EB9" w14:textId="77777777" w:rsidR="00384215" w:rsidRDefault="00384215" w:rsidP="00091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802157"/>
      <w:docPartObj>
        <w:docPartGallery w:val="Page Numbers (Bottom of Page)"/>
        <w:docPartUnique/>
      </w:docPartObj>
    </w:sdtPr>
    <w:sdtEndPr>
      <w:rPr>
        <w:noProof/>
      </w:rPr>
    </w:sdtEndPr>
    <w:sdtContent>
      <w:p w14:paraId="3E8AD8D0" w14:textId="45961E23" w:rsidR="00081D8E" w:rsidRDefault="00081D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6B3EC9" w14:textId="77777777" w:rsidR="000914B3" w:rsidRDefault="00091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8251" w14:textId="77777777" w:rsidR="00384215" w:rsidRDefault="00384215" w:rsidP="000914B3">
      <w:pPr>
        <w:spacing w:after="0" w:line="240" w:lineRule="auto"/>
      </w:pPr>
      <w:r>
        <w:separator/>
      </w:r>
    </w:p>
  </w:footnote>
  <w:footnote w:type="continuationSeparator" w:id="0">
    <w:p w14:paraId="2AA6480A" w14:textId="77777777" w:rsidR="00384215" w:rsidRDefault="00384215" w:rsidP="000914B3">
      <w:pPr>
        <w:spacing w:after="0" w:line="240" w:lineRule="auto"/>
      </w:pPr>
      <w:r>
        <w:continuationSeparator/>
      </w:r>
    </w:p>
  </w:footnote>
  <w:footnote w:id="1">
    <w:p w14:paraId="6F2BF518" w14:textId="40727B3F" w:rsidR="0039131B" w:rsidRDefault="0039131B">
      <w:pPr>
        <w:pStyle w:val="FootnoteText"/>
      </w:pPr>
      <w:r>
        <w:rPr>
          <w:rStyle w:val="FootnoteReference"/>
        </w:rPr>
        <w:footnoteRef/>
      </w:r>
      <w:r>
        <w:t xml:space="preserve"> </w:t>
      </w:r>
      <w:r>
        <w:rPr>
          <w:rStyle w:val="Emphasis"/>
        </w:rPr>
        <w:t>OSCE/ODIHR, Statement of Preliminary Findings and Conclusions, Presidential Election (Repeat), Romania, 4 May 2025, available at:</w:t>
      </w:r>
      <w:r>
        <w:t xml:space="preserve"> </w:t>
      </w:r>
      <w:hyperlink r:id="rId1" w:history="1">
        <w:r w:rsidRPr="00524730">
          <w:rPr>
            <w:rStyle w:val="Hyperlink"/>
          </w:rPr>
          <w:t>https://odihr.osce.org/sites/default/files/f/documents/5/d/590324.pdf</w:t>
        </w:r>
      </w:hyperlink>
    </w:p>
    <w:p w14:paraId="709ADBA1" w14:textId="77777777" w:rsidR="0039131B" w:rsidRPr="0039131B" w:rsidRDefault="0039131B">
      <w:pPr>
        <w:pStyle w:val="FootnoteText"/>
        <w:rPr>
          <w:lang w:val="ro-RO"/>
        </w:rPr>
      </w:pPr>
    </w:p>
  </w:footnote>
  <w:footnote w:id="2">
    <w:p w14:paraId="72B095BF" w14:textId="77777777" w:rsidR="007D1D7B" w:rsidRDefault="007D1D7B" w:rsidP="007D1D7B">
      <w:pPr>
        <w:pStyle w:val="FootnoteText"/>
      </w:pPr>
      <w:r>
        <w:rPr>
          <w:rStyle w:val="FootnoteReference"/>
        </w:rPr>
        <w:footnoteRef/>
      </w:r>
      <w:r>
        <w:t xml:space="preserve"> Permanent Electoral Authority (AEP), “</w:t>
      </w:r>
      <w:proofErr w:type="spellStart"/>
      <w:r>
        <w:t>Prezență</w:t>
      </w:r>
      <w:proofErr w:type="spellEnd"/>
      <w:r>
        <w:t xml:space="preserve"> la </w:t>
      </w:r>
      <w:proofErr w:type="spellStart"/>
      <w:r>
        <w:t>vot</w:t>
      </w:r>
      <w:proofErr w:type="spellEnd"/>
      <w:r>
        <w:t xml:space="preserve"> – </w:t>
      </w:r>
      <w:proofErr w:type="spellStart"/>
      <w:r>
        <w:t>Alegeri</w:t>
      </w:r>
      <w:proofErr w:type="spellEnd"/>
      <w:r>
        <w:t xml:space="preserve"> </w:t>
      </w:r>
      <w:proofErr w:type="spellStart"/>
      <w:r>
        <w:t>prezidențiale</w:t>
      </w:r>
      <w:proofErr w:type="spellEnd"/>
      <w:r>
        <w:t xml:space="preserve"> 18 </w:t>
      </w:r>
      <w:proofErr w:type="spellStart"/>
      <w:r>
        <w:t>mai</w:t>
      </w:r>
      <w:proofErr w:type="spellEnd"/>
      <w:r>
        <w:t xml:space="preserve"> 2025”, official turnout table, available at: </w:t>
      </w:r>
      <w:hyperlink r:id="rId2" w:history="1">
        <w:r w:rsidRPr="007C5D84">
          <w:rPr>
            <w:rStyle w:val="Hyperlink"/>
          </w:rPr>
          <w:t>https://prezenta.roaep.ro/prezidentiale18052025/presence/table</w:t>
        </w:r>
      </w:hyperlink>
      <w:r>
        <w:t xml:space="preserve">  (accessed on 8 December 2026).</w:t>
      </w:r>
    </w:p>
  </w:footnote>
  <w:footnote w:id="3">
    <w:p w14:paraId="7B6DBA4B" w14:textId="77777777" w:rsidR="007D1D7B" w:rsidRDefault="007D1D7B" w:rsidP="007D1D7B">
      <w:pPr>
        <w:pStyle w:val="FootnoteText"/>
      </w:pPr>
      <w:r>
        <w:rPr>
          <w:rStyle w:val="FootnoteReference"/>
        </w:rPr>
        <w:footnoteRef/>
      </w:r>
      <w:r>
        <w:t xml:space="preserve"> Permanent Electoral Authority (AEP), “</w:t>
      </w:r>
      <w:proofErr w:type="spellStart"/>
      <w:r>
        <w:t>Prezență</w:t>
      </w:r>
      <w:proofErr w:type="spellEnd"/>
      <w:r>
        <w:t xml:space="preserve"> la </w:t>
      </w:r>
      <w:proofErr w:type="spellStart"/>
      <w:r>
        <w:t>vot</w:t>
      </w:r>
      <w:proofErr w:type="spellEnd"/>
      <w:r>
        <w:t xml:space="preserve"> – </w:t>
      </w:r>
      <w:proofErr w:type="spellStart"/>
      <w:r>
        <w:t>Alegeri</w:t>
      </w:r>
      <w:proofErr w:type="spellEnd"/>
      <w:r>
        <w:t xml:space="preserve"> </w:t>
      </w:r>
      <w:proofErr w:type="spellStart"/>
      <w:r>
        <w:t>prezidențiale</w:t>
      </w:r>
      <w:proofErr w:type="spellEnd"/>
      <w:r>
        <w:t xml:space="preserve"> 24 </w:t>
      </w:r>
      <w:proofErr w:type="spellStart"/>
      <w:r>
        <w:t>noiembrie</w:t>
      </w:r>
      <w:proofErr w:type="spellEnd"/>
      <w:r>
        <w:t xml:space="preserve"> 2019”, official turnout data available at: </w:t>
      </w:r>
      <w:hyperlink r:id="rId3" w:history="1">
        <w:r w:rsidRPr="007C5D84">
          <w:rPr>
            <w:rStyle w:val="Hyperlink"/>
          </w:rPr>
          <w:t>https://prezenta.bec.ro/prezidentiale24112019/</w:t>
        </w:r>
      </w:hyperlink>
      <w:r>
        <w:t>?  (accessed on 8 December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4FBB"/>
    <w:multiLevelType w:val="multilevel"/>
    <w:tmpl w:val="167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16897"/>
    <w:multiLevelType w:val="multilevel"/>
    <w:tmpl w:val="4910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F0D97"/>
    <w:multiLevelType w:val="hybridMultilevel"/>
    <w:tmpl w:val="1D5CCA34"/>
    <w:lvl w:ilvl="0" w:tplc="7EF023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A73D2"/>
    <w:multiLevelType w:val="multilevel"/>
    <w:tmpl w:val="0C66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923E8"/>
    <w:multiLevelType w:val="multilevel"/>
    <w:tmpl w:val="8286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83055"/>
    <w:multiLevelType w:val="multilevel"/>
    <w:tmpl w:val="D744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A1E76"/>
    <w:multiLevelType w:val="multilevel"/>
    <w:tmpl w:val="846C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A6946"/>
    <w:multiLevelType w:val="multilevel"/>
    <w:tmpl w:val="EFF2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5317A"/>
    <w:multiLevelType w:val="multilevel"/>
    <w:tmpl w:val="9A6E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D1855"/>
    <w:multiLevelType w:val="multilevel"/>
    <w:tmpl w:val="31E8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06E3A"/>
    <w:multiLevelType w:val="multilevel"/>
    <w:tmpl w:val="D570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40910"/>
    <w:multiLevelType w:val="multilevel"/>
    <w:tmpl w:val="A6FC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E31BA"/>
    <w:multiLevelType w:val="multilevel"/>
    <w:tmpl w:val="D354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6757C"/>
    <w:multiLevelType w:val="multilevel"/>
    <w:tmpl w:val="AB98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6461C"/>
    <w:multiLevelType w:val="hybridMultilevel"/>
    <w:tmpl w:val="668CA924"/>
    <w:lvl w:ilvl="0" w:tplc="97DA32B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ED1459"/>
    <w:multiLevelType w:val="multilevel"/>
    <w:tmpl w:val="BA1E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4B65CF"/>
    <w:multiLevelType w:val="multilevel"/>
    <w:tmpl w:val="1AE6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37F6D"/>
    <w:multiLevelType w:val="multilevel"/>
    <w:tmpl w:val="BDF4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435B5C"/>
    <w:multiLevelType w:val="multilevel"/>
    <w:tmpl w:val="6726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B43EC"/>
    <w:multiLevelType w:val="multilevel"/>
    <w:tmpl w:val="D66C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14FAA"/>
    <w:multiLevelType w:val="multilevel"/>
    <w:tmpl w:val="D99A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6A6843"/>
    <w:multiLevelType w:val="multilevel"/>
    <w:tmpl w:val="2240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480E69"/>
    <w:multiLevelType w:val="multilevel"/>
    <w:tmpl w:val="16A8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476A64"/>
    <w:multiLevelType w:val="multilevel"/>
    <w:tmpl w:val="8976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2F3941"/>
    <w:multiLevelType w:val="multilevel"/>
    <w:tmpl w:val="6480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5355A5"/>
    <w:multiLevelType w:val="multilevel"/>
    <w:tmpl w:val="A562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621F1"/>
    <w:multiLevelType w:val="multilevel"/>
    <w:tmpl w:val="8280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59602C"/>
    <w:multiLevelType w:val="multilevel"/>
    <w:tmpl w:val="A958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AE1FDA"/>
    <w:multiLevelType w:val="multilevel"/>
    <w:tmpl w:val="6C0E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C4E10"/>
    <w:multiLevelType w:val="multilevel"/>
    <w:tmpl w:val="FF98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A61B7A"/>
    <w:multiLevelType w:val="multilevel"/>
    <w:tmpl w:val="8F6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0262CF"/>
    <w:multiLevelType w:val="multilevel"/>
    <w:tmpl w:val="C11E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1C521D"/>
    <w:multiLevelType w:val="multilevel"/>
    <w:tmpl w:val="C0BA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5B6666"/>
    <w:multiLevelType w:val="multilevel"/>
    <w:tmpl w:val="62C8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784EA9"/>
    <w:multiLevelType w:val="hybridMultilevel"/>
    <w:tmpl w:val="D3F29D98"/>
    <w:lvl w:ilvl="0" w:tplc="7972835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6023E8"/>
    <w:multiLevelType w:val="multilevel"/>
    <w:tmpl w:val="796A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834809">
    <w:abstractNumId w:val="34"/>
  </w:num>
  <w:num w:numId="2" w16cid:durableId="1435906959">
    <w:abstractNumId w:val="11"/>
  </w:num>
  <w:num w:numId="3" w16cid:durableId="858852647">
    <w:abstractNumId w:val="14"/>
  </w:num>
  <w:num w:numId="4" w16cid:durableId="130102186">
    <w:abstractNumId w:val="2"/>
  </w:num>
  <w:num w:numId="5" w16cid:durableId="297565329">
    <w:abstractNumId w:val="23"/>
  </w:num>
  <w:num w:numId="6" w16cid:durableId="1731151124">
    <w:abstractNumId w:val="20"/>
  </w:num>
  <w:num w:numId="7" w16cid:durableId="1659191515">
    <w:abstractNumId w:val="18"/>
  </w:num>
  <w:num w:numId="8" w16cid:durableId="706494380">
    <w:abstractNumId w:val="10"/>
  </w:num>
  <w:num w:numId="9" w16cid:durableId="2055156266">
    <w:abstractNumId w:val="29"/>
  </w:num>
  <w:num w:numId="10" w16cid:durableId="19549560">
    <w:abstractNumId w:val="16"/>
  </w:num>
  <w:num w:numId="11" w16cid:durableId="1445922556">
    <w:abstractNumId w:val="32"/>
  </w:num>
  <w:num w:numId="12" w16cid:durableId="575751493">
    <w:abstractNumId w:val="7"/>
  </w:num>
  <w:num w:numId="13" w16cid:durableId="1335765789">
    <w:abstractNumId w:val="24"/>
  </w:num>
  <w:num w:numId="14" w16cid:durableId="1330984716">
    <w:abstractNumId w:val="3"/>
  </w:num>
  <w:num w:numId="15" w16cid:durableId="155460309">
    <w:abstractNumId w:val="6"/>
  </w:num>
  <w:num w:numId="16" w16cid:durableId="879980295">
    <w:abstractNumId w:val="4"/>
  </w:num>
  <w:num w:numId="17" w16cid:durableId="1148127042">
    <w:abstractNumId w:val="9"/>
  </w:num>
  <w:num w:numId="18" w16cid:durableId="544416424">
    <w:abstractNumId w:val="1"/>
  </w:num>
  <w:num w:numId="19" w16cid:durableId="1294673388">
    <w:abstractNumId w:val="28"/>
  </w:num>
  <w:num w:numId="20" w16cid:durableId="295569186">
    <w:abstractNumId w:val="22"/>
  </w:num>
  <w:num w:numId="21" w16cid:durableId="632174553">
    <w:abstractNumId w:val="5"/>
  </w:num>
  <w:num w:numId="22" w16cid:durableId="1863088002">
    <w:abstractNumId w:val="33"/>
  </w:num>
  <w:num w:numId="23" w16cid:durableId="1478834427">
    <w:abstractNumId w:val="0"/>
  </w:num>
  <w:num w:numId="24" w16cid:durableId="638149216">
    <w:abstractNumId w:val="30"/>
  </w:num>
  <w:num w:numId="25" w16cid:durableId="1897858369">
    <w:abstractNumId w:val="12"/>
  </w:num>
  <w:num w:numId="26" w16cid:durableId="1262684846">
    <w:abstractNumId w:val="21"/>
  </w:num>
  <w:num w:numId="27" w16cid:durableId="2025548412">
    <w:abstractNumId w:val="8"/>
  </w:num>
  <w:num w:numId="28" w16cid:durableId="1138188501">
    <w:abstractNumId w:val="13"/>
  </w:num>
  <w:num w:numId="29" w16cid:durableId="1152791753">
    <w:abstractNumId w:val="17"/>
  </w:num>
  <w:num w:numId="30" w16cid:durableId="367992768">
    <w:abstractNumId w:val="15"/>
  </w:num>
  <w:num w:numId="31" w16cid:durableId="588201095">
    <w:abstractNumId w:val="26"/>
  </w:num>
  <w:num w:numId="32" w16cid:durableId="708143727">
    <w:abstractNumId w:val="27"/>
  </w:num>
  <w:num w:numId="33" w16cid:durableId="1137915753">
    <w:abstractNumId w:val="19"/>
  </w:num>
  <w:num w:numId="34" w16cid:durableId="470024672">
    <w:abstractNumId w:val="35"/>
  </w:num>
  <w:num w:numId="35" w16cid:durableId="2071149692">
    <w:abstractNumId w:val="25"/>
  </w:num>
  <w:num w:numId="36" w16cid:durableId="20206961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40F4"/>
    <w:rsid w:val="00000413"/>
    <w:rsid w:val="0000051B"/>
    <w:rsid w:val="00026B64"/>
    <w:rsid w:val="00047E5A"/>
    <w:rsid w:val="00051837"/>
    <w:rsid w:val="00054792"/>
    <w:rsid w:val="00077369"/>
    <w:rsid w:val="00081D8E"/>
    <w:rsid w:val="000914B3"/>
    <w:rsid w:val="000B659E"/>
    <w:rsid w:val="000D109D"/>
    <w:rsid w:val="00103F9B"/>
    <w:rsid w:val="001043CF"/>
    <w:rsid w:val="00140166"/>
    <w:rsid w:val="00186358"/>
    <w:rsid w:val="001E15D0"/>
    <w:rsid w:val="001E4556"/>
    <w:rsid w:val="001F03B4"/>
    <w:rsid w:val="001F0C10"/>
    <w:rsid w:val="001F1286"/>
    <w:rsid w:val="002139D8"/>
    <w:rsid w:val="00243ED1"/>
    <w:rsid w:val="00252B97"/>
    <w:rsid w:val="002626D0"/>
    <w:rsid w:val="00284C27"/>
    <w:rsid w:val="002D35F7"/>
    <w:rsid w:val="002E39BF"/>
    <w:rsid w:val="002E5D7C"/>
    <w:rsid w:val="00301937"/>
    <w:rsid w:val="003108BB"/>
    <w:rsid w:val="00320373"/>
    <w:rsid w:val="00344ED4"/>
    <w:rsid w:val="00384215"/>
    <w:rsid w:val="0039131B"/>
    <w:rsid w:val="003D1215"/>
    <w:rsid w:val="003D36DB"/>
    <w:rsid w:val="003E1E8B"/>
    <w:rsid w:val="003F0142"/>
    <w:rsid w:val="003F6B6F"/>
    <w:rsid w:val="00424F77"/>
    <w:rsid w:val="0044376D"/>
    <w:rsid w:val="00445F61"/>
    <w:rsid w:val="00464975"/>
    <w:rsid w:val="004703DE"/>
    <w:rsid w:val="00493CD5"/>
    <w:rsid w:val="00496EE5"/>
    <w:rsid w:val="004E3E2E"/>
    <w:rsid w:val="004E43AD"/>
    <w:rsid w:val="00515EE9"/>
    <w:rsid w:val="00525F39"/>
    <w:rsid w:val="005379CA"/>
    <w:rsid w:val="00543A19"/>
    <w:rsid w:val="00552D5F"/>
    <w:rsid w:val="00575FF4"/>
    <w:rsid w:val="005B720D"/>
    <w:rsid w:val="005E6775"/>
    <w:rsid w:val="005F40F4"/>
    <w:rsid w:val="00616F92"/>
    <w:rsid w:val="00631146"/>
    <w:rsid w:val="00650599"/>
    <w:rsid w:val="00694CD9"/>
    <w:rsid w:val="006C257A"/>
    <w:rsid w:val="006F2F3E"/>
    <w:rsid w:val="006F49AB"/>
    <w:rsid w:val="00704367"/>
    <w:rsid w:val="00751B36"/>
    <w:rsid w:val="00756D6D"/>
    <w:rsid w:val="0076016C"/>
    <w:rsid w:val="0077419A"/>
    <w:rsid w:val="007B1CBF"/>
    <w:rsid w:val="007D1D7B"/>
    <w:rsid w:val="008031DB"/>
    <w:rsid w:val="008210F8"/>
    <w:rsid w:val="00825E1A"/>
    <w:rsid w:val="00836474"/>
    <w:rsid w:val="008575ED"/>
    <w:rsid w:val="00894768"/>
    <w:rsid w:val="008C2F05"/>
    <w:rsid w:val="00907B78"/>
    <w:rsid w:val="00907E2B"/>
    <w:rsid w:val="009428F6"/>
    <w:rsid w:val="00952FAA"/>
    <w:rsid w:val="00962EEC"/>
    <w:rsid w:val="009F35B3"/>
    <w:rsid w:val="00A10012"/>
    <w:rsid w:val="00A3023F"/>
    <w:rsid w:val="00A320CE"/>
    <w:rsid w:val="00A553D2"/>
    <w:rsid w:val="00A93161"/>
    <w:rsid w:val="00A97BC9"/>
    <w:rsid w:val="00AA208F"/>
    <w:rsid w:val="00AA4811"/>
    <w:rsid w:val="00AF4812"/>
    <w:rsid w:val="00B30534"/>
    <w:rsid w:val="00B37307"/>
    <w:rsid w:val="00B61045"/>
    <w:rsid w:val="00B64CAE"/>
    <w:rsid w:val="00B7789D"/>
    <w:rsid w:val="00B84A98"/>
    <w:rsid w:val="00BA3B36"/>
    <w:rsid w:val="00BB6F6E"/>
    <w:rsid w:val="00BC7E78"/>
    <w:rsid w:val="00C065FE"/>
    <w:rsid w:val="00C42FCA"/>
    <w:rsid w:val="00CA0707"/>
    <w:rsid w:val="00CA4544"/>
    <w:rsid w:val="00CD2848"/>
    <w:rsid w:val="00D416E9"/>
    <w:rsid w:val="00D47769"/>
    <w:rsid w:val="00D734B3"/>
    <w:rsid w:val="00DC3A8A"/>
    <w:rsid w:val="00DD055B"/>
    <w:rsid w:val="00DE6E13"/>
    <w:rsid w:val="00DE75C4"/>
    <w:rsid w:val="00E502F2"/>
    <w:rsid w:val="00E52B5F"/>
    <w:rsid w:val="00E82D0B"/>
    <w:rsid w:val="00F67E8D"/>
    <w:rsid w:val="00F90103"/>
    <w:rsid w:val="00FE4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3EF3F"/>
  <w15:chartTrackingRefBased/>
  <w15:docId w15:val="{660358D4-8FEF-4442-AE47-D1D4BBA0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0F4"/>
  </w:style>
  <w:style w:type="paragraph" w:styleId="Heading1">
    <w:name w:val="heading 1"/>
    <w:basedOn w:val="Normal"/>
    <w:next w:val="Normal"/>
    <w:link w:val="Heading1Char"/>
    <w:uiPriority w:val="9"/>
    <w:qFormat/>
    <w:rsid w:val="005F40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F40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F40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F40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40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40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0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0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0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0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F40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F40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5F40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40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40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0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0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0F4"/>
    <w:rPr>
      <w:rFonts w:eastAsiaTheme="majorEastAsia" w:cstheme="majorBidi"/>
      <w:color w:val="272727" w:themeColor="text1" w:themeTint="D8"/>
    </w:rPr>
  </w:style>
  <w:style w:type="paragraph" w:styleId="Title">
    <w:name w:val="Title"/>
    <w:basedOn w:val="Normal"/>
    <w:next w:val="Normal"/>
    <w:link w:val="TitleChar"/>
    <w:uiPriority w:val="10"/>
    <w:qFormat/>
    <w:rsid w:val="005F4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0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0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0F4"/>
    <w:pPr>
      <w:spacing w:before="160"/>
      <w:jc w:val="center"/>
    </w:pPr>
    <w:rPr>
      <w:i/>
      <w:iCs/>
      <w:color w:val="404040" w:themeColor="text1" w:themeTint="BF"/>
    </w:rPr>
  </w:style>
  <w:style w:type="character" w:customStyle="1" w:styleId="QuoteChar">
    <w:name w:val="Quote Char"/>
    <w:basedOn w:val="DefaultParagraphFont"/>
    <w:link w:val="Quote"/>
    <w:uiPriority w:val="29"/>
    <w:rsid w:val="005F40F4"/>
    <w:rPr>
      <w:i/>
      <w:iCs/>
      <w:color w:val="404040" w:themeColor="text1" w:themeTint="BF"/>
    </w:rPr>
  </w:style>
  <w:style w:type="paragraph" w:styleId="ListParagraph">
    <w:name w:val="List Paragraph"/>
    <w:basedOn w:val="Normal"/>
    <w:uiPriority w:val="34"/>
    <w:qFormat/>
    <w:rsid w:val="005F40F4"/>
    <w:pPr>
      <w:ind w:left="720"/>
      <w:contextualSpacing/>
    </w:pPr>
  </w:style>
  <w:style w:type="character" w:styleId="IntenseEmphasis">
    <w:name w:val="Intense Emphasis"/>
    <w:basedOn w:val="DefaultParagraphFont"/>
    <w:uiPriority w:val="21"/>
    <w:qFormat/>
    <w:rsid w:val="005F40F4"/>
    <w:rPr>
      <w:i/>
      <w:iCs/>
      <w:color w:val="2F5496" w:themeColor="accent1" w:themeShade="BF"/>
    </w:rPr>
  </w:style>
  <w:style w:type="paragraph" w:styleId="IntenseQuote">
    <w:name w:val="Intense Quote"/>
    <w:basedOn w:val="Normal"/>
    <w:next w:val="Normal"/>
    <w:link w:val="IntenseQuoteChar"/>
    <w:uiPriority w:val="30"/>
    <w:qFormat/>
    <w:rsid w:val="005F40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40F4"/>
    <w:rPr>
      <w:i/>
      <w:iCs/>
      <w:color w:val="2F5496" w:themeColor="accent1" w:themeShade="BF"/>
    </w:rPr>
  </w:style>
  <w:style w:type="character" w:styleId="IntenseReference">
    <w:name w:val="Intense Reference"/>
    <w:basedOn w:val="DefaultParagraphFont"/>
    <w:uiPriority w:val="32"/>
    <w:qFormat/>
    <w:rsid w:val="005F40F4"/>
    <w:rPr>
      <w:b/>
      <w:bCs/>
      <w:smallCaps/>
      <w:color w:val="2F5496" w:themeColor="accent1" w:themeShade="BF"/>
      <w:spacing w:val="5"/>
    </w:rPr>
  </w:style>
  <w:style w:type="paragraph" w:styleId="NormalWeb">
    <w:name w:val="Normal (Web)"/>
    <w:basedOn w:val="Normal"/>
    <w:uiPriority w:val="99"/>
    <w:unhideWhenUsed/>
    <w:rsid w:val="005F40F4"/>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5F40F4"/>
    <w:rPr>
      <w:b/>
      <w:bCs/>
    </w:rPr>
  </w:style>
  <w:style w:type="character" w:styleId="Hyperlink">
    <w:name w:val="Hyperlink"/>
    <w:basedOn w:val="DefaultParagraphFont"/>
    <w:uiPriority w:val="99"/>
    <w:unhideWhenUsed/>
    <w:rsid w:val="005F40F4"/>
    <w:rPr>
      <w:color w:val="0563C1" w:themeColor="hyperlink"/>
      <w:u w:val="single"/>
    </w:rPr>
  </w:style>
  <w:style w:type="character" w:styleId="UnresolvedMention">
    <w:name w:val="Unresolved Mention"/>
    <w:basedOn w:val="DefaultParagraphFont"/>
    <w:uiPriority w:val="99"/>
    <w:semiHidden/>
    <w:unhideWhenUsed/>
    <w:rsid w:val="00054792"/>
    <w:rPr>
      <w:color w:val="605E5C"/>
      <w:shd w:val="clear" w:color="auto" w:fill="E1DFDD"/>
    </w:rPr>
  </w:style>
  <w:style w:type="character" w:styleId="FollowedHyperlink">
    <w:name w:val="FollowedHyperlink"/>
    <w:basedOn w:val="DefaultParagraphFont"/>
    <w:uiPriority w:val="99"/>
    <w:semiHidden/>
    <w:unhideWhenUsed/>
    <w:rsid w:val="00054792"/>
    <w:rPr>
      <w:color w:val="954F72" w:themeColor="followedHyperlink"/>
      <w:u w:val="single"/>
    </w:rPr>
  </w:style>
  <w:style w:type="character" w:styleId="Emphasis">
    <w:name w:val="Emphasis"/>
    <w:basedOn w:val="DefaultParagraphFont"/>
    <w:uiPriority w:val="20"/>
    <w:qFormat/>
    <w:rsid w:val="00B37307"/>
    <w:rPr>
      <w:i/>
      <w:iCs/>
    </w:rPr>
  </w:style>
  <w:style w:type="paragraph" w:styleId="Header">
    <w:name w:val="header"/>
    <w:basedOn w:val="Normal"/>
    <w:link w:val="HeaderChar"/>
    <w:uiPriority w:val="99"/>
    <w:unhideWhenUsed/>
    <w:rsid w:val="00091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4B3"/>
  </w:style>
  <w:style w:type="paragraph" w:styleId="Footer">
    <w:name w:val="footer"/>
    <w:basedOn w:val="Normal"/>
    <w:link w:val="FooterChar"/>
    <w:uiPriority w:val="99"/>
    <w:unhideWhenUsed/>
    <w:rsid w:val="00091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4B3"/>
  </w:style>
  <w:style w:type="paragraph" w:styleId="FootnoteText">
    <w:name w:val="footnote text"/>
    <w:basedOn w:val="Normal"/>
    <w:link w:val="FootnoteTextChar"/>
    <w:uiPriority w:val="99"/>
    <w:semiHidden/>
    <w:unhideWhenUsed/>
    <w:rsid w:val="003913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131B"/>
    <w:rPr>
      <w:sz w:val="20"/>
      <w:szCs w:val="20"/>
    </w:rPr>
  </w:style>
  <w:style w:type="character" w:styleId="FootnoteReference">
    <w:name w:val="footnote reference"/>
    <w:basedOn w:val="DefaultParagraphFont"/>
    <w:uiPriority w:val="99"/>
    <w:semiHidden/>
    <w:unhideWhenUsed/>
    <w:rsid w:val="003913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gi24.ro/stiri/actualitate/politica/o-judecatoare-ccr-a-explicat-pe-larg-de-ce-au-fost-anulate-alegerile-din-2024-nu-este-o-sanctiune-pentru-cetatenii-care-au-votat-3380275" TargetMode="External"/><Relationship Id="rId18" Type="http://schemas.openxmlformats.org/officeDocument/2006/relationships/hyperlink" Target="https://www.antena3.ro/politica/reactia-lui-nicusor-dan-dupa-dovezile-aduse-de-procurorul-general-o-dovada-consistenta-a-influentei-rusiei-in-alegerile-din-2024-759783.html" TargetMode="External"/><Relationship Id="rId26" Type="http://schemas.openxmlformats.org/officeDocument/2006/relationships/hyperlink" Target="https://vm.tiktok.com/ZNR6Cwfkf" TargetMode="External"/><Relationship Id="rId3" Type="http://schemas.openxmlformats.org/officeDocument/2006/relationships/styles" Target="styles.xml"/><Relationship Id="rId21" Type="http://schemas.openxmlformats.org/officeDocument/2006/relationships/hyperlink" Target="https://r3media.ro/video-24-noiembrie-2024-calin-georgescu-declarat-castigator-primul-tur-nicusor-soptit-pregatire-prezidentiale-alegeri-anulat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ibertatea.ro/opinii/prezidentiale-2025-mesajele-sefului-ccr-pe-intelesul-tuturor-clarificari-avertismente-la-semnalele-transmise-institutiilor-5202546" TargetMode="External"/><Relationship Id="rId17" Type="http://schemas.openxmlformats.org/officeDocument/2006/relationships/hyperlink" Target="https://www.gandul.ro/actualitate/documentul-prezentat-de-nicusor-dan-liderilor-ue-despre-anularea-alegerilor-actorii-ostili-urmarind-modelarea-continua-a-opiniei-publice-20654782" TargetMode="External"/><Relationship Id="rId25" Type="http://schemas.openxmlformats.org/officeDocument/2006/relationships/hyperlink" Target="https://vm.tiktok.com/ZNR6XLYa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iare.com/nicusor-dan/dezvaluiri-parchet-dovada-consistenta-influentare-alegeri-prezidentiale-1964607" TargetMode="External"/><Relationship Id="rId20" Type="http://schemas.openxmlformats.org/officeDocument/2006/relationships/hyperlink" Target="https://stirileprotv.ro/stiri/politic/nicusor-dan-despre-anularea-alegerilor-prezidentiale-din-romania-in-2024-au-fost-folosite-conturi-si-firme-din-rusia.html" TargetMode="External"/><Relationship Id="rId29" Type="http://schemas.openxmlformats.org/officeDocument/2006/relationships/hyperlink" Target="https://vm.tiktok.com/ZNR6CvGA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4media.ro/breaking-presedintele-ccr-marian-enache-anularea-alegerilor-a-fost-o-decizie-de-aparare-a-statului-roman-si-a-democratiei-constitutionale-propuneri-ale-candidatilor-care-sa-impuna-reconsiderarea-r.html" TargetMode="External"/><Relationship Id="rId24" Type="http://schemas.openxmlformats.org/officeDocument/2006/relationships/hyperlink" Target="https://ecopolitic.ro/filmare-exploziva-cu-nicusor-dan-din-seara-anularii-alegerilor-daca-intra-georgescu-in-turul-2-te-pregatesti-nicusor-pentru-prezidentiale"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otnews.ro/judecatoarea-ccr-iuliana-scantei-a-explicat-anularea-alegerilor-prezidentiale-imi-pare-rau-ca-ccr-nu-a-gasit-prilejul-de-a-cere-scuze-alegatorilor-ea-a-spus-ca-nu-votul-oamenilor-a-2048379" TargetMode="External"/><Relationship Id="rId23" Type="http://schemas.openxmlformats.org/officeDocument/2006/relationships/hyperlink" Target="https://www.gandul.ro/actualitate/filmare-exploziva-cu-nicusor-dan-la-un-an-de-la-anularea-alegerilor-daca-intra-georgescu-in-turul-2-te-pregatesti-nicusor-pentru-prezidentiale-20717029" TargetMode="External"/><Relationship Id="rId28" Type="http://schemas.openxmlformats.org/officeDocument/2006/relationships/hyperlink" Target="https://vm.tiktok.com/ZNR6CcNe6" TargetMode="External"/><Relationship Id="rId10" Type="http://schemas.openxmlformats.org/officeDocument/2006/relationships/hyperlink" Target="https://www.juridice.ro/essentials/8746/marian-enache-presedintele-ccr-fragilitatea-democratiei-se-regaseste-in-insasi-fragilitatea-structurilor-sociale-de-baza-ale-societatii-noastre-curtea-constitutionala-este-garantul-democratiei-cons" TargetMode="External"/><Relationship Id="rId19" Type="http://schemas.openxmlformats.org/officeDocument/2006/relationships/hyperlink" Target="https://realitatea.md/ce-contine-raportul-despre-anularea-alegerilor-din-romania-pe-care-nicusor-dan-l-a-prezentat-liderilor-europeni/" TargetMode="External"/><Relationship Id="rId31" Type="http://schemas.openxmlformats.org/officeDocument/2006/relationships/hyperlink" Target="https://legislatie.just.ro/Public/DetaliiDocument/305792" TargetMode="External"/><Relationship Id="rId4" Type="http://schemas.openxmlformats.org/officeDocument/2006/relationships/settings" Target="settings.xml"/><Relationship Id="rId9" Type="http://schemas.openxmlformats.org/officeDocument/2006/relationships/hyperlink" Target="https://www.ccr.ro/interviul-presedintelui-curtii-constitutionale-dl-marian-enache/" TargetMode="External"/><Relationship Id="rId14" Type="http://schemas.openxmlformats.org/officeDocument/2006/relationships/hyperlink" Target="https://www.stiripesurse.ro/video-cum-a-justificat-judecatoarea-scantei-decizia-ccr-privind-anularea-alegerilor-prezidentiale_3795260.html" TargetMode="External"/><Relationship Id="rId22" Type="http://schemas.openxmlformats.org/officeDocument/2006/relationships/hyperlink" Target="https://www.activenews.ro/stiri-dezvaluiri/Daca-intra-Calin-Georgescu-in-Turul-2-te-pregatesti-Nicusor-pentru-prezidentiale-24-noiembrie-2024-Ora-22.06.-Consilierul-USR-Stefan-Stofor-in-direct-catre-Nicusor-Dan-VIDEO-DEZVALUIRE-Col.-r-SRI-Ion-Dedu-201221" TargetMode="External"/><Relationship Id="rId27" Type="http://schemas.openxmlformats.org/officeDocument/2006/relationships/hyperlink" Target="https://vm.tiktok.com/ZNR6CwXye" TargetMode="External"/><Relationship Id="rId30" Type="http://schemas.openxmlformats.org/officeDocument/2006/relationships/hyperlink" Target="https://vm.tiktok.com/ZNR6CoEEm" TargetMode="External"/><Relationship Id="rId8" Type="http://schemas.openxmlformats.org/officeDocument/2006/relationships/hyperlink" Target="mailto:theodoros.rousopoulos@coe.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ezenta.bec.ro/prezidentiale24112019/" TargetMode="External"/><Relationship Id="rId2" Type="http://schemas.openxmlformats.org/officeDocument/2006/relationships/hyperlink" Target="https://prezenta.roaep.ro/prezidentiale18052025/presence/table" TargetMode="External"/><Relationship Id="rId1" Type="http://schemas.openxmlformats.org/officeDocument/2006/relationships/hyperlink" Target="https://odihr.osce.org/sites/default/files/f/documents/5/d/5903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C0D96-D246-4D4A-AA4A-1EEED096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2467</TotalTime>
  <Pages>1</Pages>
  <Words>7995</Words>
  <Characters>45573</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Elena Poiana</cp:lastModifiedBy>
  <cp:revision>31</cp:revision>
  <cp:lastPrinted>2026-01-02T20:48:00Z</cp:lastPrinted>
  <dcterms:created xsi:type="dcterms:W3CDTF">2026-01-01T21:50:00Z</dcterms:created>
  <dcterms:modified xsi:type="dcterms:W3CDTF">2026-01-11T02:00:00Z</dcterms:modified>
</cp:coreProperties>
</file>